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6e63f427ec09e63617ffbf7c96238492995b015"/>
    <w:p>
      <w:pPr>
        <w:pStyle w:val="Heading1"/>
      </w:pPr>
      <w:r>
        <w:t xml:space="preserve">Perioperative NPO and Tube Feeding Resident Handout</w:t>
      </w:r>
    </w:p>
    <w:p>
      <w:pPr>
        <w:pStyle w:val="FirstParagraph"/>
      </w:pPr>
      <w:r>
        <w:rPr>
          <w:b/>
          <w:bCs/>
        </w:rPr>
        <w:t xml:space="preserve">Applies to:</w:t>
      </w:r>
      <w:r>
        <w:t xml:space="preserve"> </w:t>
      </w:r>
      <w:r>
        <w:t xml:space="preserve">trauma/SICU perioperative planning.</w:t>
      </w:r>
      <w:r>
        <w:t xml:space="preserve"> </w:t>
      </w:r>
      <w:r>
        <w:rPr>
          <w:b/>
          <w:bCs/>
        </w:rPr>
        <w:t xml:space="preserve">Key principle:</w:t>
      </w:r>
      <w:r>
        <w:t xml:space="preserve"> </w:t>
      </w:r>
      <w:r>
        <w:t xml:space="preserve">intubated/trach-cuffed patients have a protected airway; avoid unnecessary starvation.</w:t>
      </w:r>
    </w:p>
    <w:bookmarkStart w:id="20" w:name="standard-oral-fasting-windows"/>
    <w:p>
      <w:pPr>
        <w:pStyle w:val="Heading2"/>
      </w:pPr>
      <w:r>
        <w:t xml:space="preserve">1) Standard Oral Fasting Windows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Intake Type</w:t>
            </w:r>
          </w:p>
        </w:tc>
        <w:tc>
          <w:tcPr/>
          <w:p>
            <w:pPr>
              <w:pStyle w:val="Compact"/>
            </w:pPr>
            <w:r>
              <w:t xml:space="preserve">Minimum Fast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liquids</w:t>
            </w:r>
          </w:p>
        </w:tc>
        <w:tc>
          <w:tcPr/>
          <w:p>
            <w:pPr>
              <w:pStyle w:val="Compact"/>
            </w:pPr>
            <w:r>
              <w:t xml:space="preserve">2 hours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Light meal</w:t>
            </w:r>
          </w:p>
        </w:tc>
        <w:tc>
          <w:tcPr/>
          <w:p>
            <w:pPr>
              <w:pStyle w:val="Compact"/>
            </w:pPr>
            <w:r>
              <w:t xml:space="preserve">6 hours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Full/fatty meal</w:t>
            </w:r>
          </w:p>
        </w:tc>
        <w:tc>
          <w:tcPr/>
          <w:p>
            <w:pPr>
              <w:pStyle w:val="Compact"/>
            </w:pPr>
            <w:r>
              <w:t xml:space="preserve">8 hours</w:t>
            </w:r>
          </w:p>
        </w:tc>
      </w:tr>
    </w:tbl>
    <w:bookmarkEnd w:id="20"/>
    <w:bookmarkStart w:id="23" w:name="enteral-tube-feeding-rules"/>
    <w:p>
      <w:pPr>
        <w:pStyle w:val="Heading2"/>
      </w:pPr>
      <w:r>
        <w:t xml:space="preserve">2) Enteral Tube Feeding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Airway Status</w:t>
            </w:r>
          </w:p>
        </w:tc>
        <w:tc>
          <w:tcPr/>
          <w:p>
            <w:pPr>
              <w:pStyle w:val="Compact"/>
            </w:pPr>
            <w:r>
              <w:t xml:space="preserve">Gastric Feeds (NG/OG/G/PEG)</w:t>
            </w:r>
          </w:p>
        </w:tc>
        <w:tc>
          <w:tcPr/>
          <w:p>
            <w:pPr>
              <w:pStyle w:val="Compact"/>
            </w:pPr>
            <w:r>
              <w:t xml:space="preserve">Post-Pyloric Feeds (NJ/DHT/J)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Intubated or cuffed trach (protected airway)</w:t>
            </w:r>
          </w:p>
        </w:tc>
        <w:tc>
          <w:tcPr/>
          <w:p>
            <w:pPr>
              <w:pStyle w:val="Compact"/>
            </w:pPr>
            <w:r>
              <w:t xml:space="preserve">Continue until called to OR</w:t>
            </w:r>
          </w:p>
        </w:tc>
        <w:tc>
          <w:tcPr/>
          <w:p>
            <w:pPr>
              <w:pStyle w:val="Compact"/>
            </w:pPr>
            <w:r>
              <w:t xml:space="preserve">Continue until called to 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 intubated (no protected airway)</w:t>
            </w:r>
          </w:p>
        </w:tc>
        <w:tc>
          <w:tcPr/>
          <w:p>
            <w:pPr>
              <w:pStyle w:val="Compact"/>
            </w:pPr>
            <w:r>
              <w:t xml:space="preserve">Hold 6 hours pre-procedure</w:t>
            </w:r>
          </w:p>
        </w:tc>
        <w:tc>
          <w:tcPr/>
          <w:p>
            <w:pPr>
              <w:pStyle w:val="Compact"/>
            </w:pPr>
            <w:r>
              <w:t xml:space="preserve">Hold 6 hours pre-procedure</w:t>
            </w:r>
          </w:p>
        </w:tc>
      </w:tr>
    </w:tbl>
    <w:bookmarkStart w:id="21" w:name="hold-feeds-regardless-of-airway-status"/>
    <w:p>
      <w:pPr>
        <w:pStyle w:val="Heading3"/>
      </w:pPr>
      <w:r>
        <w:t xml:space="preserve">Hold feeds regardless of airway status</w:t>
      </w:r>
    </w:p>
    <w:p>
      <w:pPr>
        <w:pStyle w:val="Compact"/>
        <w:numPr>
          <w:ilvl w:val="0"/>
          <w:numId w:val="1001"/>
        </w:numPr>
      </w:pPr>
      <w:r>
        <w:t xml:space="preserve">GI surgery.</w:t>
      </w:r>
    </w:p>
    <w:p>
      <w:pPr>
        <w:pStyle w:val="Compact"/>
        <w:numPr>
          <w:ilvl w:val="0"/>
          <w:numId w:val="1001"/>
        </w:numPr>
      </w:pPr>
      <w:r>
        <w:t xml:space="preserve">Airway surgery.</w:t>
      </w:r>
    </w:p>
    <w:p>
      <w:pPr>
        <w:pStyle w:val="Compact"/>
        <w:numPr>
          <w:ilvl w:val="0"/>
          <w:numId w:val="1001"/>
        </w:numPr>
      </w:pPr>
      <w:r>
        <w:t xml:space="preserve">Proning plan.</w:t>
      </w:r>
    </w:p>
    <w:bookmarkEnd w:id="21"/>
    <w:bookmarkStart w:id="22" w:name="post-op-restart"/>
    <w:p>
      <w:pPr>
        <w:pStyle w:val="Heading3"/>
      </w:pPr>
      <w:r>
        <w:t xml:space="preserve">Post-op restart</w:t>
      </w:r>
    </w:p>
    <w:p>
      <w:pPr>
        <w:pStyle w:val="Compact"/>
        <w:numPr>
          <w:ilvl w:val="0"/>
          <w:numId w:val="1002"/>
        </w:numPr>
      </w:pPr>
      <w:r>
        <w:t xml:space="preserve">Non-GI operations: restart at prior plan when clinically appropriate.</w:t>
      </w:r>
    </w:p>
    <w:p>
      <w:pPr>
        <w:pStyle w:val="Compact"/>
        <w:numPr>
          <w:ilvl w:val="0"/>
          <w:numId w:val="1002"/>
        </w:numPr>
      </w:pPr>
      <w:r>
        <w:t xml:space="preserve">GI operations: restart per surgical team plan.</w:t>
      </w:r>
    </w:p>
    <w:bookmarkEnd w:id="22"/>
    <w:bookmarkEnd w:id="23"/>
    <w:bookmarkStart w:id="29" w:name="Xc28e683adbf8acae805b0fcd0f6b23300cc0f09"/>
    <w:p>
      <w:pPr>
        <w:pStyle w:val="Heading2"/>
      </w:pPr>
      <w:r>
        <w:t xml:space="preserve">3) GLP-1 Perioperative Workflow (2024 Multi-Society Update)</w:t>
      </w:r>
    </w:p>
    <w:bookmarkStart w:id="24" w:name="step-1-identify-agent"/>
    <w:p>
      <w:pPr>
        <w:pStyle w:val="Heading3"/>
      </w:pPr>
      <w:r>
        <w:t xml:space="preserve">Step 1: identify agent</w:t>
      </w:r>
    </w:p>
    <w:p>
      <w:pPr>
        <w:pStyle w:val="Compact"/>
        <w:numPr>
          <w:ilvl w:val="0"/>
          <w:numId w:val="1003"/>
        </w:numPr>
      </w:pPr>
      <w:r>
        <w:t xml:space="preserve">Weekly: semaglutide, tirzepatide, dulaglutide, exenatide ER.</w:t>
      </w:r>
    </w:p>
    <w:p>
      <w:pPr>
        <w:pStyle w:val="Compact"/>
        <w:numPr>
          <w:ilvl w:val="0"/>
          <w:numId w:val="1003"/>
        </w:numPr>
      </w:pPr>
      <w:r>
        <w:t xml:space="preserve">Daily: liraglutide, oral semaglutide, lixisenatide.</w:t>
      </w:r>
    </w:p>
    <w:bookmarkEnd w:id="24"/>
    <w:bookmarkStart w:id="25" w:name="step-2-symptom-screen"/>
    <w:p>
      <w:pPr>
        <w:pStyle w:val="Heading3"/>
      </w:pPr>
      <w:r>
        <w:t xml:space="preserve">Step 2: symptom screen</w:t>
      </w:r>
    </w:p>
    <w:p>
      <w:pPr>
        <w:pStyle w:val="FirstParagraph"/>
      </w:pPr>
      <w:r>
        <w:t xml:space="preserve">Ask for nausea, vomiting, bloating, abdominal discomfort.</w:t>
      </w:r>
    </w:p>
    <w:bookmarkEnd w:id="25"/>
    <w:bookmarkStart w:id="26" w:name="branching-plan"/>
    <w:p>
      <w:pPr>
        <w:pStyle w:val="Heading3"/>
      </w:pPr>
      <w:r>
        <w:t xml:space="preserve">Branching plan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Screen Result</w:t>
            </w:r>
          </w:p>
        </w:tc>
        <w:tc>
          <w:tcPr/>
          <w:p>
            <w:pPr>
              <w:pStyle w:val="Compact"/>
            </w:pPr>
            <w:r>
              <w:t xml:space="preserve">Pre-op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GI symptoms</w:t>
            </w:r>
          </w:p>
        </w:tc>
        <w:tc>
          <w:tcPr/>
          <w:p>
            <w:pPr>
              <w:pStyle w:val="Compact"/>
            </w:pPr>
            <w:r>
              <w:t xml:space="preserve">Continue GLP-1, use standard fasting windows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 symptoms present</w:t>
            </w:r>
          </w:p>
        </w:tc>
        <w:tc>
          <w:tcPr/>
          <w:p>
            <w:pPr>
              <w:pStyle w:val="Compact"/>
            </w:pPr>
            <w:r>
              <w:t xml:space="preserve">Continue GLP-1, clear liquids for 24h, treat as higher aspiration risk (RSI/full-stomach precautions)</w:t>
            </w:r>
          </w:p>
        </w:tc>
      </w:tr>
    </w:tbl>
    <w:bookmarkEnd w:id="26"/>
    <w:bookmarkStart w:id="27" w:name="risk-modifier"/>
    <w:p>
      <w:pPr>
        <w:pStyle w:val="Heading3"/>
      </w:pPr>
      <w:r>
        <w:t xml:space="preserve">Risk modifier</w:t>
      </w:r>
    </w:p>
    <w:p>
      <w:pPr>
        <w:pStyle w:val="Compact"/>
        <w:numPr>
          <w:ilvl w:val="0"/>
          <w:numId w:val="1004"/>
        </w:numPr>
      </w:pPr>
      <w:r>
        <w:t xml:space="preserve">Dose-escalation phase (first 4-8 weeks or after dose increase) has higher GI symptom risk.</w:t>
      </w:r>
    </w:p>
    <w:bookmarkEnd w:id="27"/>
    <w:bookmarkStart w:id="28" w:name="X185f22e70bedd3c4131c272fa0bd232bc2393e7"/>
    <w:p>
      <w:pPr>
        <w:pStyle w:val="Heading3"/>
      </w:pPr>
      <w:r>
        <w:t xml:space="preserve">If gastric ultrasound is used (symptomatic branch)</w:t>
      </w:r>
    </w:p>
    <w:p>
      <w:pPr>
        <w:pStyle w:val="Compact"/>
        <w:numPr>
          <w:ilvl w:val="0"/>
          <w:numId w:val="1005"/>
        </w:numPr>
      </w:pPr>
      <w:r>
        <w:t xml:space="preserve">Residual &gt;1.5 mL/kg: maintain full-stomach/RSI strategy and document.</w:t>
      </w:r>
    </w:p>
    <w:p>
      <w:pPr>
        <w:pStyle w:val="Compact"/>
        <w:numPr>
          <w:ilvl w:val="0"/>
          <w:numId w:val="1005"/>
        </w:numPr>
      </w:pPr>
      <w:r>
        <w:t xml:space="preserve">Empty stomach: proceed per anesthesia attending judgment.</w:t>
      </w:r>
    </w:p>
    <w:bookmarkEnd w:id="28"/>
    <w:bookmarkEnd w:id="29"/>
    <w:bookmarkStart w:id="30" w:name="urgentemergent-cases"/>
    <w:p>
      <w:pPr>
        <w:pStyle w:val="Heading2"/>
      </w:pPr>
      <w:r>
        <w:t xml:space="preserve">4) Urgent/Emergent Cases</w:t>
      </w:r>
    </w:p>
    <w:p>
      <w:pPr>
        <w:pStyle w:val="Compact"/>
        <w:numPr>
          <w:ilvl w:val="0"/>
          <w:numId w:val="1006"/>
        </w:numPr>
      </w:pPr>
      <w:r>
        <w:t xml:space="preserve">Treat as full stomach.</w:t>
      </w:r>
    </w:p>
    <w:p>
      <w:pPr>
        <w:pStyle w:val="Compact"/>
        <w:numPr>
          <w:ilvl w:val="0"/>
          <w:numId w:val="1006"/>
        </w:numPr>
      </w:pPr>
      <w:r>
        <w:t xml:space="preserve">Use RSI and aspiration precautions.</w:t>
      </w:r>
    </w:p>
    <w:p>
      <w:pPr>
        <w:pStyle w:val="Compact"/>
        <w:numPr>
          <w:ilvl w:val="0"/>
          <w:numId w:val="1006"/>
        </w:numPr>
      </w:pPr>
      <w:r>
        <w:t xml:space="preserve">Do not delay for elective fasting windows.</w:t>
      </w:r>
    </w:p>
    <w:bookmarkEnd w:id="30"/>
    <w:bookmarkStart w:id="31" w:name="documentation-requirements"/>
    <w:p>
      <w:pPr>
        <w:pStyle w:val="Heading2"/>
      </w:pPr>
      <w:r>
        <w:t xml:space="preserve">5) Documentation Requirements</w:t>
      </w:r>
    </w:p>
    <w:p>
      <w:pPr>
        <w:pStyle w:val="Compact"/>
        <w:numPr>
          <w:ilvl w:val="0"/>
          <w:numId w:val="1007"/>
        </w:numPr>
      </w:pPr>
      <w:r>
        <w:t xml:space="preserve">Airway status at decision time.</w:t>
      </w:r>
    </w:p>
    <w:p>
      <w:pPr>
        <w:pStyle w:val="Compact"/>
        <w:numPr>
          <w:ilvl w:val="0"/>
          <w:numId w:val="1007"/>
        </w:numPr>
      </w:pPr>
      <w:r>
        <w:t xml:space="preserve">Feed route + hold/continue decision + reason.</w:t>
      </w:r>
    </w:p>
    <w:p>
      <w:pPr>
        <w:pStyle w:val="Compact"/>
        <w:numPr>
          <w:ilvl w:val="0"/>
          <w:numId w:val="1007"/>
        </w:numPr>
      </w:pPr>
      <w:r>
        <w:t xml:space="preserve">GLP-1 use and GI symptom screen result.</w:t>
      </w:r>
    </w:p>
    <w:p>
      <w:pPr>
        <w:pStyle w:val="Compact"/>
        <w:numPr>
          <w:ilvl w:val="0"/>
          <w:numId w:val="1007"/>
        </w:numPr>
      </w:pPr>
      <w:r>
        <w:t xml:space="preserve">Any deviation from baseline pathway with rationale.</w:t>
      </w:r>
    </w:p>
    <w:bookmarkEnd w:id="31"/>
    <w:bookmarkStart w:id="32" w:name="hard-stops"/>
    <w:p>
      <w:pPr>
        <w:pStyle w:val="Heading2"/>
      </w:pPr>
      <w:r>
        <w:t xml:space="preserve">6) Hard Stops</w:t>
      </w:r>
    </w:p>
    <w:p>
      <w:pPr>
        <w:pStyle w:val="Compact"/>
        <w:numPr>
          <w:ilvl w:val="0"/>
          <w:numId w:val="1008"/>
        </w:numPr>
      </w:pPr>
      <w:r>
        <w:t xml:space="preserve">Do not apply blanket NPO rules to intubated ICU patients.</w:t>
      </w:r>
    </w:p>
    <w:p>
      <w:pPr>
        <w:pStyle w:val="Compact"/>
        <w:numPr>
          <w:ilvl w:val="0"/>
          <w:numId w:val="1008"/>
        </w:numPr>
      </w:pPr>
      <w:r>
        <w:t xml:space="preserve">Do not hold all GLP-1 agents reflexively without symptom assessment.</w:t>
      </w:r>
    </w:p>
    <w:p>
      <w:pPr>
        <w:pStyle w:val="Compact"/>
        <w:numPr>
          <w:ilvl w:val="0"/>
          <w:numId w:val="1008"/>
        </w:numPr>
      </w:pPr>
      <w:r>
        <w:t xml:space="preserve">Do not skip documenting rationale for exceptions.</w:t>
      </w:r>
    </w:p>
    <w:p>
      <w:pPr>
        <w:pStyle w:val="Compact"/>
        <w:numPr>
          <w:ilvl w:val="0"/>
          <w:numId w:val="1008"/>
        </w:numPr>
      </w:pPr>
      <w:r>
        <w:t xml:space="preserve">Do not delay urgent surgery to satisfy elective fasting windows.</w:t>
      </w:r>
    </w:p>
    <w:bookmarkEnd w:id="32"/>
    <w:bookmarkStart w:id="33" w:name="quick-execution-card"/>
    <w:p>
      <w:pPr>
        <w:pStyle w:val="Heading2"/>
      </w:pPr>
      <w:r>
        <w:t xml:space="preserve">7) Quick Execution Card</w:t>
      </w:r>
    </w:p>
    <w:p>
      <w:pPr>
        <w:pStyle w:val="Compact"/>
        <w:numPr>
          <w:ilvl w:val="0"/>
          <w:numId w:val="1009"/>
        </w:numPr>
      </w:pPr>
      <w:r>
        <w:t xml:space="preserve">Intubated + non-GI/non-airway/non-proning: feeds continue until called to OR.</w:t>
      </w:r>
    </w:p>
    <w:p>
      <w:pPr>
        <w:pStyle w:val="Compact"/>
        <w:numPr>
          <w:ilvl w:val="0"/>
          <w:numId w:val="1009"/>
        </w:numPr>
      </w:pPr>
      <w:r>
        <w:t xml:space="preserve">Not intubated + any tube feeds: hold 6h.</w:t>
      </w:r>
    </w:p>
    <w:p>
      <w:pPr>
        <w:pStyle w:val="Compact"/>
        <w:numPr>
          <w:ilvl w:val="0"/>
          <w:numId w:val="1009"/>
        </w:numPr>
      </w:pPr>
      <w:r>
        <w:t xml:space="preserve">GLP-1 no symptoms: continue medication + standard fasting.</w:t>
      </w:r>
    </w:p>
    <w:p>
      <w:pPr>
        <w:pStyle w:val="Compact"/>
        <w:numPr>
          <w:ilvl w:val="0"/>
          <w:numId w:val="1009"/>
        </w:numPr>
      </w:pPr>
      <w:r>
        <w:t xml:space="preserve">GLP-1 with symptoms: clear liquids x24h + aspiration-risk pathway.</w:t>
      </w:r>
    </w:p>
    <w:bookmarkEnd w:id="33"/>
    <w:bookmarkStart w:id="34" w:name="source-basis"/>
    <w:p>
      <w:pPr>
        <w:pStyle w:val="Heading2"/>
      </w:pPr>
      <w:r>
        <w:t xml:space="preserve">Source Basis</w:t>
      </w:r>
    </w:p>
    <w:p>
      <w:pPr>
        <w:pStyle w:val="FirstParagraph"/>
      </w:pPr>
      <w:r>
        <w:t xml:space="preserve">Condensed from active institutional NPO/perioperative feeding guideline (effective November 2025, anesthesia-approved).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2026-02-26T19:19:40Z</dcterms:created>
  <dcterms:modified xsi:type="dcterms:W3CDTF">2026-02-26T19:19:40Z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