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64282eb0b4f0e99dd64beba1820a0127fa48ae8"/>
    <w:p>
      <w:pPr>
        <w:pStyle w:val="Heading1"/>
      </w:pPr>
      <w:r>
        <w:t xml:space="preserve">CAUTI National Norms and CMS/Hospital/Privileging Impact Brief</w:t>
      </w:r>
    </w:p>
    <w:p>
      <w:pPr>
        <w:pStyle w:val="FirstParagraph"/>
      </w:pPr>
      <w:r>
        <w:rPr>
          <w:b/>
          <w:bCs/>
        </w:rPr>
        <w:t xml:space="preserve">Prepared:</w:t>
      </w:r>
      <w:r>
        <w:t xml:space="preserve"> </w:t>
      </w:r>
      <w:r>
        <w:t xml:space="preserve">February 26, 2026</w:t>
      </w:r>
      <w:r>
        <w:br/>
      </w:r>
      <w:r>
        <w:rPr>
          <w:b/>
          <w:bCs/>
        </w:rPr>
        <w:t xml:space="preserve">Purpose:</w:t>
      </w:r>
      <w:r>
        <w:t xml:space="preserve"> </w:t>
      </w:r>
      <w:r>
        <w:t xml:space="preserve">Provide SICU-ready guardrails for UA/culture ordering and a concise benchmark/regulatory context.</w:t>
      </w:r>
      <w:r>
        <w:t xml:space="preserve"> </w:t>
      </w:r>
      <w:r>
        <w:rPr>
          <w:b/>
          <w:bCs/>
        </w:rPr>
        <w:t xml:space="preserve">Accessed:</w:t>
      </w:r>
      <w:r>
        <w:t xml:space="preserve"> </w:t>
      </w:r>
      <w:r>
        <w:t xml:space="preserve">February 26, 2026</w:t>
      </w:r>
    </w:p>
    <w:bookmarkStart w:id="21" w:name="Xdefe899c3ea4afe2abefdcd1c7195066a7d5cc2"/>
    <w:p>
      <w:pPr>
        <w:pStyle w:val="Heading2"/>
      </w:pPr>
      <w:r>
        <w:t xml:space="preserve">1) Aggressive UA/Culture Ordering Standard (Recommended)</w:t>
      </w:r>
    </w:p>
    <w:bookmarkStart w:id="20" w:name="X49732059eda44ddb4bae2d43b152664942ca8bb"/>
    <w:p>
      <w:pPr>
        <w:pStyle w:val="Heading3"/>
      </w:pPr>
      <w:r>
        <w:t xml:space="preserve">Hard-stop statements for unit policy/handouts</w:t>
      </w:r>
    </w:p>
    <w:p>
      <w:pPr>
        <w:pStyle w:val="FirstParagraph"/>
      </w:pPr>
      <w:r>
        <w:t xml:space="preserve">Do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order UA/urine culture for:</w:t>
      </w:r>
    </w:p>
    <w:p>
      <w:pPr>
        <w:pStyle w:val="Compact"/>
        <w:numPr>
          <w:ilvl w:val="0"/>
          <w:numId w:val="1001"/>
        </w:numPr>
      </w:pPr>
      <w:r>
        <w:t xml:space="preserve">cloudy urine alone,</w:t>
      </w:r>
    </w:p>
    <w:p>
      <w:pPr>
        <w:pStyle w:val="Compact"/>
        <w:numPr>
          <w:ilvl w:val="0"/>
          <w:numId w:val="1001"/>
        </w:numPr>
      </w:pPr>
      <w:r>
        <w:t xml:space="preserve">foul-smelling urine alone,</w:t>
      </w:r>
    </w:p>
    <w:p>
      <w:pPr>
        <w:pStyle w:val="Compact"/>
        <w:numPr>
          <w:ilvl w:val="0"/>
          <w:numId w:val="1001"/>
        </w:numPr>
      </w:pPr>
      <w:r>
        <w:t xml:space="preserve">dark/concentrated or sedimented urine alone,</w:t>
      </w:r>
    </w:p>
    <w:p>
      <w:pPr>
        <w:pStyle w:val="Compact"/>
        <w:numPr>
          <w:ilvl w:val="0"/>
          <w:numId w:val="1001"/>
        </w:numPr>
      </w:pPr>
      <w:r>
        <w:t xml:space="preserve">pyuria alone without compatible clinical syndrome,</w:t>
      </w:r>
    </w:p>
    <w:p>
      <w:pPr>
        <w:pStyle w:val="Compact"/>
        <w:numPr>
          <w:ilvl w:val="0"/>
          <w:numId w:val="1001"/>
        </w:numPr>
      </w:pPr>
      <w:r>
        <w:t xml:space="preserve">candiduria alone without symptomatic UTI criteria.</w:t>
      </w:r>
    </w:p>
    <w:p>
      <w:pPr>
        <w:pStyle w:val="FirstParagraph"/>
      </w:pPr>
      <w:r>
        <w:t xml:space="preserve">In catheterized patients, require a plausible urinary source and a documented statement of how the result will change management before ordering.</w:t>
      </w:r>
    </w:p>
    <w:bookmarkEnd w:id="20"/>
    <w:bookmarkEnd w:id="21"/>
    <w:bookmarkStart w:id="25" w:name="X0d62b6644663ab8225d90f66a0224a5145fd61c"/>
    <w:p>
      <w:pPr>
        <w:pStyle w:val="Heading2"/>
      </w:pPr>
      <w:r>
        <w:t xml:space="preserve">2) National CAUTI Norms (Most recent CDC NHSN acute-care file)</w:t>
      </w:r>
    </w:p>
    <w:p>
      <w:pPr>
        <w:pStyle w:val="FirstParagraph"/>
      </w:pPr>
      <w:r>
        <w:t xml:space="preserve">Source dataset: CDC NHSN 2024 acute-care workbook (</w:t>
      </w:r>
      <w:r>
        <w:rPr>
          <w:rStyle w:val="VerbatimChar"/>
        </w:rPr>
        <w:t xml:space="preserve">2024-SIR-ACH.xlsx</w:t>
      </w:r>
      <w:r>
        <w:t xml:space="preserve">, published January 29, 2026).</w:t>
      </w:r>
    </w:p>
    <w:bookmarkStart w:id="22" w:name="X2f489d5135f76b5f6f430ba40ad99a515527c5a"/>
    <w:p>
      <w:pPr>
        <w:pStyle w:val="Heading3"/>
      </w:pPr>
      <w:r>
        <w:t xml:space="preserve">National CAUTI (all ICU + ward locations, acute-care hospitals, 2024)</w:t>
      </w:r>
    </w:p>
    <w:p>
      <w:pPr>
        <w:pStyle w:val="Compact"/>
        <w:numPr>
          <w:ilvl w:val="0"/>
          <w:numId w:val="1002"/>
        </w:numPr>
      </w:pPr>
      <w:r>
        <w:t xml:space="preserve">Reporting acute care hospitals:</w:t>
      </w:r>
      <w:r>
        <w:t xml:space="preserve"> </w:t>
      </w:r>
      <w:r>
        <w:rPr>
          <w:b/>
          <w:bCs/>
        </w:rPr>
        <w:t xml:space="preserve">3,782</w:t>
      </w:r>
    </w:p>
    <w:p>
      <w:pPr>
        <w:pStyle w:val="Compact"/>
        <w:numPr>
          <w:ilvl w:val="0"/>
          <w:numId w:val="1002"/>
        </w:numPr>
      </w:pPr>
      <w:r>
        <w:t xml:space="preserve">Observed CAUTI events:</w:t>
      </w:r>
      <w:r>
        <w:t xml:space="preserve"> </w:t>
      </w:r>
      <w:r>
        <w:rPr>
          <w:b/>
          <w:bCs/>
        </w:rPr>
        <w:t xml:space="preserve">15,347</w:t>
      </w:r>
    </w:p>
    <w:p>
      <w:pPr>
        <w:pStyle w:val="Compact"/>
        <w:numPr>
          <w:ilvl w:val="0"/>
          <w:numId w:val="1002"/>
        </w:numPr>
      </w:pPr>
      <w:r>
        <w:t xml:space="preserve">Device days:</w:t>
      </w:r>
      <w:r>
        <w:t xml:space="preserve"> </w:t>
      </w:r>
      <w:r>
        <w:rPr>
          <w:b/>
          <w:bCs/>
        </w:rPr>
        <w:t xml:space="preserve">23,370,835</w:t>
      </w:r>
    </w:p>
    <w:p>
      <w:pPr>
        <w:pStyle w:val="Compact"/>
        <w:numPr>
          <w:ilvl w:val="0"/>
          <w:numId w:val="1002"/>
        </w:numPr>
      </w:pPr>
      <w:r>
        <w:t xml:space="preserve">Crude event rate:</w:t>
      </w:r>
      <w:r>
        <w:t xml:space="preserve"> </w:t>
      </w:r>
      <w:r>
        <w:rPr>
          <w:b/>
          <w:bCs/>
        </w:rPr>
        <w:t xml:space="preserve">0.657 per 1,000 catheter-days</w:t>
      </w:r>
    </w:p>
    <w:p>
      <w:pPr>
        <w:pStyle w:val="Compact"/>
        <w:numPr>
          <w:ilvl w:val="0"/>
          <w:numId w:val="1002"/>
        </w:numPr>
      </w:pPr>
      <w:r>
        <w:t xml:space="preserve">National CAUTI SIR:</w:t>
      </w:r>
      <w:r>
        <w:t xml:space="preserve"> </w:t>
      </w:r>
      <w:r>
        <w:rPr>
          <w:b/>
          <w:bCs/>
        </w:rPr>
        <w:t xml:space="preserve">0.559</w:t>
      </w:r>
      <w:r>
        <w:t xml:space="preserve"> </w:t>
      </w:r>
      <w:r>
        <w:t xml:space="preserve">(95% CI: 0.550 to 0.568)</w:t>
      </w:r>
    </w:p>
    <w:bookmarkEnd w:id="22"/>
    <w:bookmarkStart w:id="23" w:name="Xa271198a7962e19453dcde7a53ddb4ea835feaa"/>
    <w:p>
      <w:pPr>
        <w:pStyle w:val="Heading3"/>
      </w:pPr>
      <w:r>
        <w:t xml:space="preserve">Trauma Critical Care location benchmark (acute-care hospitals, 2024)</w:t>
      </w:r>
    </w:p>
    <w:p>
      <w:pPr>
        <w:pStyle w:val="Compact"/>
        <w:numPr>
          <w:ilvl w:val="0"/>
          <w:numId w:val="1003"/>
        </w:numPr>
      </w:pPr>
      <w:r>
        <w:t xml:space="preserve">Reporting acute care hospitals:</w:t>
      </w:r>
      <w:r>
        <w:t xml:space="preserve"> </w:t>
      </w:r>
      <w:r>
        <w:rPr>
          <w:b/>
          <w:bCs/>
        </w:rPr>
        <w:t xml:space="preserve">125</w:t>
      </w:r>
    </w:p>
    <w:p>
      <w:pPr>
        <w:pStyle w:val="Compact"/>
        <w:numPr>
          <w:ilvl w:val="0"/>
          <w:numId w:val="1003"/>
        </w:numPr>
      </w:pPr>
      <w:r>
        <w:t xml:space="preserve">CDC locations reported:</w:t>
      </w:r>
      <w:r>
        <w:t xml:space="preserve"> </w:t>
      </w:r>
      <w:r>
        <w:rPr>
          <w:b/>
          <w:bCs/>
        </w:rPr>
        <w:t xml:space="preserve">146</w:t>
      </w:r>
    </w:p>
    <w:p>
      <w:pPr>
        <w:pStyle w:val="Compact"/>
        <w:numPr>
          <w:ilvl w:val="0"/>
          <w:numId w:val="1003"/>
        </w:numPr>
      </w:pPr>
      <w:r>
        <w:t xml:space="preserve">Observed CAUTI events:</w:t>
      </w:r>
      <w:r>
        <w:t xml:space="preserve"> </w:t>
      </w:r>
      <w:r>
        <w:rPr>
          <w:b/>
          <w:bCs/>
        </w:rPr>
        <w:t xml:space="preserve">306</w:t>
      </w:r>
    </w:p>
    <w:p>
      <w:pPr>
        <w:pStyle w:val="Compact"/>
        <w:numPr>
          <w:ilvl w:val="0"/>
          <w:numId w:val="1003"/>
        </w:numPr>
      </w:pPr>
      <w:r>
        <w:t xml:space="preserve">Patient days:</w:t>
      </w:r>
      <w:r>
        <w:t xml:space="preserve"> </w:t>
      </w:r>
      <w:r>
        <w:rPr>
          <w:b/>
          <w:bCs/>
        </w:rPr>
        <w:t xml:space="preserve">667,466</w:t>
      </w:r>
    </w:p>
    <w:p>
      <w:pPr>
        <w:pStyle w:val="Compact"/>
        <w:numPr>
          <w:ilvl w:val="0"/>
          <w:numId w:val="1003"/>
        </w:numPr>
      </w:pPr>
      <w:r>
        <w:t xml:space="preserve">Device days:</w:t>
      </w:r>
      <w:r>
        <w:t xml:space="preserve"> </w:t>
      </w:r>
      <w:r>
        <w:rPr>
          <w:b/>
          <w:bCs/>
        </w:rPr>
        <w:t xml:space="preserve">335,348</w:t>
      </w:r>
    </w:p>
    <w:p>
      <w:pPr>
        <w:pStyle w:val="Compact"/>
        <w:numPr>
          <w:ilvl w:val="0"/>
          <w:numId w:val="1003"/>
        </w:numPr>
      </w:pPr>
      <w:r>
        <w:t xml:space="preserve">Crude event rate:</w:t>
      </w:r>
      <w:r>
        <w:t xml:space="preserve"> </w:t>
      </w:r>
      <w:r>
        <w:rPr>
          <w:b/>
          <w:bCs/>
        </w:rPr>
        <w:t xml:space="preserve">0.912 per 1,000 catheter-days</w:t>
      </w:r>
    </w:p>
    <w:p>
      <w:pPr>
        <w:pStyle w:val="Compact"/>
        <w:numPr>
          <w:ilvl w:val="0"/>
          <w:numId w:val="1003"/>
        </w:numPr>
      </w:pPr>
      <w:r>
        <w:t xml:space="preserve">Trauma Critical Care CAUTI SIR:</w:t>
      </w:r>
      <w:r>
        <w:t xml:space="preserve"> </w:t>
      </w:r>
      <w:r>
        <w:rPr>
          <w:b/>
          <w:bCs/>
        </w:rPr>
        <w:t xml:space="preserve">0.345</w:t>
      </w:r>
      <w:r>
        <w:t xml:space="preserve"> </w:t>
      </w:r>
      <w:r>
        <w:t xml:space="preserve">(95% CI: 0.308 to 0.385)</w:t>
      </w:r>
    </w:p>
    <w:bookmarkEnd w:id="23"/>
    <w:bookmarkStart w:id="24" w:name="how-to-interpret-sir-quickly"/>
    <w:p>
      <w:pPr>
        <w:pStyle w:val="Heading3"/>
      </w:pPr>
      <w:r>
        <w:t xml:space="preserve">How to interpret SIR quickly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SIR = 1.0</w:t>
      </w:r>
      <w:r>
        <w:t xml:space="preserve">: equals predicted national baseline.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SIR &gt; 1.0</w:t>
      </w:r>
      <w:r>
        <w:t xml:space="preserve">: more infections than predicted.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SIR &lt; 1.0</w:t>
      </w:r>
      <w:r>
        <w:t xml:space="preserve">: fewer infections than predicted.</w:t>
      </w:r>
    </w:p>
    <w:bookmarkEnd w:id="24"/>
    <w:bookmarkEnd w:id="25"/>
    <w:bookmarkStart w:id="26" w:name="X25301460498b9687a045825a61eb620bd742c35"/>
    <w:p>
      <w:pPr>
        <w:pStyle w:val="Heading2"/>
      </w:pPr>
      <w:r>
        <w:t xml:space="preserve">3) CMS Standpoint (FY 2026 HAC Reduction Program)</w:t>
      </w:r>
    </w:p>
    <w:p>
      <w:pPr>
        <w:pStyle w:val="FirstParagraph"/>
      </w:pPr>
      <w:r>
        <w:t xml:space="preserve">CMS FY 2026 HAC Reduction Program includes six measure domains, including:</w:t>
      </w:r>
    </w:p>
    <w:p>
      <w:pPr>
        <w:pStyle w:val="Compact"/>
        <w:numPr>
          <w:ilvl w:val="0"/>
          <w:numId w:val="1005"/>
        </w:numPr>
      </w:pPr>
      <w:r>
        <w:t xml:space="preserve">CLABSI SIR,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CAUTI SIR (ICUs and wards)</w:t>
      </w:r>
      <w:r>
        <w:t xml:space="preserve">,</w:t>
      </w:r>
    </w:p>
    <w:p>
      <w:pPr>
        <w:pStyle w:val="Compact"/>
        <w:numPr>
          <w:ilvl w:val="0"/>
          <w:numId w:val="1005"/>
        </w:numPr>
      </w:pPr>
      <w:r>
        <w:t xml:space="preserve">selected SSI measures,</w:t>
      </w:r>
    </w:p>
    <w:p>
      <w:pPr>
        <w:pStyle w:val="Compact"/>
        <w:numPr>
          <w:ilvl w:val="0"/>
          <w:numId w:val="1005"/>
        </w:numPr>
      </w:pPr>
      <w:r>
        <w:t xml:space="preserve">MRSA bacteremia,</w:t>
      </w:r>
    </w:p>
    <w:p>
      <w:pPr>
        <w:pStyle w:val="Compact"/>
        <w:numPr>
          <w:ilvl w:val="0"/>
          <w:numId w:val="1005"/>
        </w:numPr>
      </w:pPr>
      <w:r>
        <w:t xml:space="preserve">CDI,</w:t>
      </w:r>
    </w:p>
    <w:p>
      <w:pPr>
        <w:pStyle w:val="Compact"/>
        <w:numPr>
          <w:ilvl w:val="0"/>
          <w:numId w:val="1005"/>
        </w:numPr>
      </w:pPr>
      <w:r>
        <w:t xml:space="preserve">PSI-90.</w:t>
      </w:r>
    </w:p>
    <w:p>
      <w:pPr>
        <w:pStyle w:val="FirstParagraph"/>
      </w:pPr>
      <w:r>
        <w:t xml:space="preserve">Direct CMS statement:</w:t>
      </w:r>
      <w:r>
        <w:t xml:space="preserve"> </w:t>
      </w:r>
      <w:r>
        <w:t xml:space="preserve">“Hospitals ranking in the worst-performing quartile receive a 1-percent reduction in Medicare payments.”</w:t>
      </w:r>
    </w:p>
    <w:bookmarkEnd w:id="26"/>
    <w:bookmarkStart w:id="27" w:name="hospital-operations-standpoint"/>
    <w:p>
      <w:pPr>
        <w:pStyle w:val="Heading2"/>
      </w:pPr>
      <w:r>
        <w:t xml:space="preserve">4) Hospital Operations Standpoint</w:t>
      </w:r>
    </w:p>
    <w:p>
      <w:pPr>
        <w:pStyle w:val="FirstParagraph"/>
      </w:pPr>
      <w:r>
        <w:t xml:space="preserve">Practical implications for hospital leadership:</w:t>
      </w:r>
    </w:p>
    <w:p>
      <w:pPr>
        <w:pStyle w:val="Compact"/>
        <w:numPr>
          <w:ilvl w:val="0"/>
          <w:numId w:val="1006"/>
        </w:numPr>
      </w:pPr>
      <w:r>
        <w:t xml:space="preserve">CAUTI SIR contributes to HACRP scoring and can directly affect Medicare IPPS revenue.</w:t>
      </w:r>
    </w:p>
    <w:p>
      <w:pPr>
        <w:pStyle w:val="Compact"/>
        <w:numPr>
          <w:ilvl w:val="0"/>
          <w:numId w:val="1006"/>
        </w:numPr>
      </w:pPr>
      <w:r>
        <w:t xml:space="preserve">Misclassification (for example, candiduria mislabeled as CAUTI) can create false quality signal and financial risk.</w:t>
      </w:r>
    </w:p>
    <w:p>
      <w:pPr>
        <w:pStyle w:val="Compact"/>
        <w:numPr>
          <w:ilvl w:val="0"/>
          <w:numId w:val="1006"/>
        </w:numPr>
      </w:pPr>
      <w:r>
        <w:t xml:space="preserve">UA/culture over-ordering can increase unnecessary treatment and quality noise.</w:t>
      </w:r>
    </w:p>
    <w:bookmarkEnd w:id="27"/>
    <w:bookmarkStart w:id="28" w:name="X156acd1d11040f5ee3084bf01939835405f2ae9"/>
    <w:p>
      <w:pPr>
        <w:pStyle w:val="Heading2"/>
      </w:pPr>
      <w:r>
        <w:t xml:space="preserve">5) Privileging Standpoint (What this means for clinicians)</w:t>
      </w:r>
    </w:p>
    <w:p>
      <w:pPr>
        <w:pStyle w:val="FirstParagraph"/>
      </w:pPr>
      <w:r>
        <w:t xml:space="preserve">CMS HACRP is a</w:t>
      </w:r>
      <w:r>
        <w:t xml:space="preserve"> </w:t>
      </w:r>
      <w:r>
        <w:rPr>
          <w:b/>
          <w:bCs/>
        </w:rPr>
        <w:t xml:space="preserve">hospital-level</w:t>
      </w:r>
      <w:r>
        <w:t xml:space="preserve"> </w:t>
      </w:r>
      <w:r>
        <w:t xml:space="preserve">payment program, not a direct physician payment penalty program.</w:t>
      </w:r>
    </w:p>
    <w:p>
      <w:pPr>
        <w:pStyle w:val="BodyText"/>
      </w:pPr>
      <w:r>
        <w:t xml:space="preserve">Under 42 CFR 482.22, hospitals must run a credentialing/privileging process. eCFR language states the medical staff must</w:t>
      </w:r>
      <w:r>
        <w:t xml:space="preserve"> </w:t>
      </w:r>
      <w:r>
        <w:t xml:space="preserve">“examine credentials”</w:t>
      </w:r>
      <w:r>
        <w:t xml:space="preserve"> </w:t>
      </w:r>
      <w:r>
        <w:t xml:space="preserve">and make recommendations for</w:t>
      </w:r>
      <w:r>
        <w:t xml:space="preserve"> </w:t>
      </w:r>
      <w:r>
        <w:t xml:space="preserve">“appointment, reappointment, and assignment or curtailment of clinical privileges.”</w:t>
      </w:r>
      <w:r>
        <w:br/>
      </w:r>
      <w:r>
        <w:t xml:space="preserve">Operationally, this supports use of objective quality/safety indicators (for example, stewardship and documentation reliability) in OPPE/FPPE workflows.</w:t>
      </w:r>
    </w:p>
    <w:bookmarkEnd w:id="28"/>
    <w:bookmarkStart w:id="29" w:name="X9aac3e8a3bc54378e3764e4c70251069c592f7d"/>
    <w:p>
      <w:pPr>
        <w:pStyle w:val="Heading2"/>
      </w:pPr>
      <w:r>
        <w:t xml:space="preserve">6) Recommended SICU Implementation Decisions</w:t>
      </w:r>
    </w:p>
    <w:p>
      <w:pPr>
        <w:pStyle w:val="Compact"/>
        <w:numPr>
          <w:ilvl w:val="0"/>
          <w:numId w:val="1007"/>
        </w:numPr>
      </w:pPr>
      <w:r>
        <w:t xml:space="preserve">Approve a</w:t>
      </w:r>
      <w:r>
        <w:t xml:space="preserve"> </w:t>
      </w:r>
      <w:r>
        <w:t xml:space="preserve">“UA/Culture Hard-Stop”</w:t>
      </w:r>
      <w:r>
        <w:t xml:space="preserve"> </w:t>
      </w:r>
      <w:r>
        <w:t xml:space="preserve">policy statement using the wording above.</w:t>
      </w:r>
    </w:p>
    <w:p>
      <w:pPr>
        <w:pStyle w:val="Compact"/>
        <w:numPr>
          <w:ilvl w:val="0"/>
          <w:numId w:val="1007"/>
        </w:numPr>
      </w:pPr>
      <w:r>
        <w:t xml:space="preserve">Add mandatory order justification field:</w:t>
      </w:r>
      <w:r>
        <w:t xml:space="preserve"> </w:t>
      </w:r>
      <w:r>
        <w:t xml:space="preserve">“How will this result change management?”</w:t>
      </w:r>
    </w:p>
    <w:p>
      <w:pPr>
        <w:pStyle w:val="Compact"/>
        <w:numPr>
          <w:ilvl w:val="0"/>
          <w:numId w:val="1007"/>
        </w:numPr>
      </w:pPr>
      <w:r>
        <w:t xml:space="preserve">Review every CAUTI-flagged case for definitional accuracy before committee finalization.</w:t>
      </w:r>
    </w:p>
    <w:p>
      <w:pPr>
        <w:pStyle w:val="Compact"/>
        <w:numPr>
          <w:ilvl w:val="0"/>
          <w:numId w:val="1007"/>
        </w:numPr>
      </w:pPr>
      <w:r>
        <w:t xml:space="preserve">Add monthly dashboard panel with:</w:t>
      </w:r>
    </w:p>
    <w:p>
      <w:pPr>
        <w:pStyle w:val="Compact"/>
        <w:numPr>
          <w:ilvl w:val="0"/>
          <w:numId w:val="1008"/>
        </w:numPr>
      </w:pPr>
      <w:r>
        <w:t xml:space="preserve">SIR trend,</w:t>
      </w:r>
    </w:p>
    <w:p>
      <w:pPr>
        <w:pStyle w:val="Compact"/>
        <w:numPr>
          <w:ilvl w:val="0"/>
          <w:numId w:val="1008"/>
        </w:numPr>
      </w:pPr>
      <w:r>
        <w:t xml:space="preserve">device utilization,</w:t>
      </w:r>
    </w:p>
    <w:p>
      <w:pPr>
        <w:pStyle w:val="Compact"/>
        <w:numPr>
          <w:ilvl w:val="0"/>
          <w:numId w:val="1008"/>
        </w:numPr>
      </w:pPr>
      <w:r>
        <w:t xml:space="preserve">non-indicated UA/culture count,</w:t>
      </w:r>
    </w:p>
    <w:p>
      <w:pPr>
        <w:pStyle w:val="Compact"/>
        <w:numPr>
          <w:ilvl w:val="0"/>
          <w:numId w:val="1008"/>
        </w:numPr>
      </w:pPr>
      <w:r>
        <w:t xml:space="preserve">candiduria misclassification count.</w:t>
      </w:r>
    </w:p>
    <w:bookmarkEnd w:id="29"/>
    <w:bookmarkStart w:id="30" w:name="sources"/>
    <w:p>
      <w:pPr>
        <w:pStyle w:val="Heading2"/>
      </w:pPr>
      <w:r>
        <w:t xml:space="preserve">Sources</w:t>
      </w:r>
    </w:p>
    <w:p>
      <w:pPr>
        <w:pStyle w:val="Compact"/>
        <w:numPr>
          <w:ilvl w:val="0"/>
          <w:numId w:val="1009"/>
        </w:numPr>
      </w:pPr>
      <w:r>
        <w:t xml:space="preserve">CDC NHSN 2024 SIR acute-care workbook (</w:t>
      </w:r>
      <w:r>
        <w:rPr>
          <w:rStyle w:val="VerbatimChar"/>
        </w:rPr>
        <w:t xml:space="preserve">2024-SIR-ACH.xlsx</w:t>
      </w:r>
      <w:r>
        <w:t xml:space="preserve">): https://www.cdc.gov/healthcare-associated-infections/media/excel/2024-SIR-ACH.xlsx</w:t>
      </w:r>
    </w:p>
    <w:p>
      <w:pPr>
        <w:pStyle w:val="Compact"/>
        <w:numPr>
          <w:ilvl w:val="0"/>
          <w:numId w:val="1009"/>
        </w:numPr>
      </w:pPr>
      <w:r>
        <w:t xml:space="preserve">CDC HAI data release page (2024 report publication date): https://www.cdc.gov/healthcare-associated-infections/php/data/index.html</w:t>
      </w:r>
    </w:p>
    <w:p>
      <w:pPr>
        <w:pStyle w:val="Compact"/>
        <w:numPr>
          <w:ilvl w:val="0"/>
          <w:numId w:val="1009"/>
        </w:numPr>
      </w:pPr>
      <w:r>
        <w:t xml:space="preserve">CDC SIR guide (interpretation of SIR): https://www.cdc.gov/nhsn/pdfs/ps-analysis-resources/nhsn-sir-guide.pdf</w:t>
      </w:r>
    </w:p>
    <w:p>
      <w:pPr>
        <w:pStyle w:val="Compact"/>
        <w:numPr>
          <w:ilvl w:val="0"/>
          <w:numId w:val="1009"/>
        </w:numPr>
      </w:pPr>
      <w:r>
        <w:t xml:space="preserve">CDC UTI stewardship page: https://www.cdc.gov/uti/hcp/clinical-guidance/culture-stewardship-strategize.html</w:t>
      </w:r>
    </w:p>
    <w:p>
      <w:pPr>
        <w:pStyle w:val="Compact"/>
        <w:numPr>
          <w:ilvl w:val="0"/>
          <w:numId w:val="1009"/>
        </w:numPr>
      </w:pPr>
      <w:r>
        <w:t xml:space="preserve">CMS FY 2026 HACRP Fact Sheet: https://www.cms.gov/files/document/fy-2026-hac-reduction-program-fact-sheet.pdf</w:t>
      </w:r>
    </w:p>
    <w:p>
      <w:pPr>
        <w:pStyle w:val="Compact"/>
        <w:numPr>
          <w:ilvl w:val="0"/>
          <w:numId w:val="1009"/>
        </w:numPr>
      </w:pPr>
      <w:r>
        <w:t xml:space="preserve">eCFR 42 CFR 482.22 (medical staff): https://www.ecfr.gov/current/title-42/chapter-IV/subchapter-G/part-482/subpart-C/section-482.22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2026-02-26T18:16:07Z</dcterms:created>
  <dcterms:modified xsi:type="dcterms:W3CDTF">2026-02-26T18:16:07Z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