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raumasicu-fever-workup-guideline-draft"/>
    <w:p>
      <w:pPr>
        <w:pStyle w:val="Heading1"/>
      </w:pPr>
      <w:r>
        <w:t xml:space="preserve">Trauma/SICU Fever Workup Guideline (Draft)</w:t>
      </w:r>
    </w:p>
    <w:p>
      <w:pPr>
        <w:pStyle w:val="FirstParagraph"/>
      </w:pPr>
      <w:r>
        <w:rPr>
          <w:b/>
          <w:bCs/>
        </w:rPr>
        <w:t xml:space="preserve">Status:</w:t>
      </w:r>
      <w:r>
        <w:t xml:space="preserve"> </w:t>
      </w:r>
      <w:r>
        <w:t xml:space="preserve">Draft for committee approval</w:t>
      </w:r>
      <w:r>
        <w:br/>
      </w:r>
      <w:r>
        <w:rPr>
          <w:b/>
          <w:bCs/>
        </w:rPr>
        <w:t xml:space="preserve">Purpose:</w:t>
      </w:r>
      <w:r>
        <w:t xml:space="preserve"> </w:t>
      </w:r>
      <w:r>
        <w:t xml:space="preserve">Reduce unnecessary pan-culture behavior while preserving patient safety.</w:t>
      </w:r>
    </w:p>
    <w:bookmarkStart w:id="20" w:name="trigger-principles"/>
    <w:p>
      <w:pPr>
        <w:pStyle w:val="Heading2"/>
      </w:pPr>
      <w:r>
        <w:t xml:space="preserve">Trigger Principles</w:t>
      </w:r>
    </w:p>
    <w:p>
      <w:pPr>
        <w:pStyle w:val="Compact"/>
        <w:numPr>
          <w:ilvl w:val="0"/>
          <w:numId w:val="1001"/>
        </w:numPr>
      </w:pPr>
      <w:r>
        <w:t xml:space="preserve">One isolated fever does not automatically require full pan-culture.</w:t>
      </w:r>
    </w:p>
    <w:p>
      <w:pPr>
        <w:pStyle w:val="Compact"/>
        <w:numPr>
          <w:ilvl w:val="0"/>
          <w:numId w:val="1001"/>
        </w:numPr>
      </w:pPr>
      <w:r>
        <w:t xml:space="preserve">Use clinical context, trend, and source likelihood before ordering tests.</w:t>
      </w:r>
    </w:p>
    <w:p>
      <w:pPr>
        <w:pStyle w:val="Compact"/>
        <w:numPr>
          <w:ilvl w:val="0"/>
          <w:numId w:val="1001"/>
        </w:numPr>
      </w:pPr>
      <w:r>
        <w:t xml:space="preserve">If already on broad-spectrum coverage, test only if results will change management.</w:t>
      </w:r>
    </w:p>
    <w:bookmarkEnd w:id="20"/>
    <w:bookmarkStart w:id="21" w:name="suggested-workflow"/>
    <w:p>
      <w:pPr>
        <w:pStyle w:val="Heading2"/>
      </w:pPr>
      <w:r>
        <w:t xml:space="preserve">Suggested Workflow</w:t>
      </w:r>
    </w:p>
    <w:p>
      <w:pPr>
        <w:pStyle w:val="Compact"/>
        <w:numPr>
          <w:ilvl w:val="0"/>
          <w:numId w:val="1002"/>
        </w:numPr>
      </w:pPr>
      <w:r>
        <w:t xml:space="preserve">Confirm fever and timing trend.</w:t>
      </w:r>
    </w:p>
    <w:p>
      <w:pPr>
        <w:pStyle w:val="Compact"/>
        <w:numPr>
          <w:ilvl w:val="0"/>
          <w:numId w:val="1002"/>
        </w:numPr>
      </w:pPr>
      <w:r>
        <w:t xml:space="preserve">Perform focused clinical exam and source review.</w:t>
      </w:r>
    </w:p>
    <w:p>
      <w:pPr>
        <w:pStyle w:val="Compact"/>
        <w:numPr>
          <w:ilvl w:val="0"/>
          <w:numId w:val="1002"/>
        </w:numPr>
      </w:pPr>
      <w:r>
        <w:t xml:space="preserve">Order targeted diagnostics only when they are expected to alter treatment.</w:t>
      </w:r>
    </w:p>
    <w:p>
      <w:pPr>
        <w:pStyle w:val="Compact"/>
        <w:numPr>
          <w:ilvl w:val="0"/>
          <w:numId w:val="1002"/>
        </w:numPr>
      </w:pPr>
      <w:r>
        <w:t xml:space="preserve">For urinary testing:</w:t>
      </w:r>
    </w:p>
    <w:p>
      <w:pPr>
        <w:pStyle w:val="Compact"/>
        <w:numPr>
          <w:ilvl w:val="0"/>
          <w:numId w:val="1003"/>
        </w:numPr>
      </w:pPr>
      <w:r>
        <w:t xml:space="preserve">Require urinary source suspicion.</w:t>
      </w:r>
    </w:p>
    <w:p>
      <w:pPr>
        <w:pStyle w:val="Compact"/>
        <w:numPr>
          <w:ilvl w:val="0"/>
          <w:numId w:val="1003"/>
        </w:numPr>
      </w:pPr>
      <w:r>
        <w:t xml:space="preserve">If chronic Foley and culture indicated, replace catheter before culture.</w:t>
      </w:r>
    </w:p>
    <w:bookmarkEnd w:id="21"/>
    <w:bookmarkStart w:id="22" w:name="documentation-standard"/>
    <w:p>
      <w:pPr>
        <w:pStyle w:val="Heading2"/>
      </w:pPr>
      <w:r>
        <w:t xml:space="preserve">Documentation Standard</w:t>
      </w:r>
    </w:p>
    <w:p>
      <w:pPr>
        <w:pStyle w:val="Compact"/>
        <w:numPr>
          <w:ilvl w:val="0"/>
          <w:numId w:val="1004"/>
        </w:numPr>
      </w:pPr>
      <w:r>
        <w:t xml:space="preserve">Document why each test is ordered.</w:t>
      </w:r>
    </w:p>
    <w:p>
      <w:pPr>
        <w:pStyle w:val="Compact"/>
        <w:numPr>
          <w:ilvl w:val="0"/>
          <w:numId w:val="1004"/>
        </w:numPr>
      </w:pPr>
      <w:r>
        <w:t xml:space="preserve">Document what management decision the result will influence.</w:t>
      </w:r>
    </w:p>
    <w:p>
      <w:pPr>
        <w:pStyle w:val="Compact"/>
        <w:numPr>
          <w:ilvl w:val="0"/>
          <w:numId w:val="1004"/>
        </w:numPr>
      </w:pPr>
      <w:r>
        <w:t xml:space="preserve">Document why potential alternative sources were accepted or excluded.</w:t>
      </w:r>
    </w:p>
    <w:bookmarkEnd w:id="22"/>
    <w:bookmarkStart w:id="23" w:name="escalation-criteria"/>
    <w:p>
      <w:pPr>
        <w:pStyle w:val="Heading2"/>
      </w:pPr>
      <w:r>
        <w:t xml:space="preserve">Escalation Criteria</w:t>
      </w:r>
    </w:p>
    <w:p>
      <w:pPr>
        <w:pStyle w:val="FirstParagraph"/>
      </w:pPr>
      <w:r>
        <w:t xml:space="preserve">Escalate to attending/APP immediately if:</w:t>
      </w:r>
    </w:p>
    <w:p>
      <w:pPr>
        <w:pStyle w:val="Compact"/>
        <w:numPr>
          <w:ilvl w:val="0"/>
          <w:numId w:val="1005"/>
        </w:numPr>
      </w:pPr>
      <w:r>
        <w:t xml:space="preserve">Hemodynamic instability.</w:t>
      </w:r>
    </w:p>
    <w:p>
      <w:pPr>
        <w:pStyle w:val="Compact"/>
        <w:numPr>
          <w:ilvl w:val="0"/>
          <w:numId w:val="1005"/>
        </w:numPr>
      </w:pPr>
      <w:r>
        <w:t xml:space="preserve">Rapid oxygenation decline.</w:t>
      </w:r>
    </w:p>
    <w:p>
      <w:pPr>
        <w:pStyle w:val="Compact"/>
        <w:numPr>
          <w:ilvl w:val="0"/>
          <w:numId w:val="1005"/>
        </w:numPr>
      </w:pPr>
      <w:r>
        <w:t xml:space="preserve">New focal signs suggesting uncontrolled source.</w:t>
      </w:r>
    </w:p>
    <w:p>
      <w:pPr>
        <w:pStyle w:val="Compact"/>
        <w:numPr>
          <w:ilvl w:val="0"/>
          <w:numId w:val="1005"/>
        </w:numPr>
      </w:pPr>
      <w:r>
        <w:t xml:space="preserve">Persistent fever pattern with worsening inflammatory markers.</w:t>
      </w:r>
    </w:p>
    <w:bookmarkEnd w:id="23"/>
    <w:bookmarkStart w:id="24" w:name="committee-approval-items"/>
    <w:p>
      <w:pPr>
        <w:pStyle w:val="Heading2"/>
      </w:pPr>
      <w:r>
        <w:t xml:space="preserve">Committee Approval Items</w:t>
      </w:r>
    </w:p>
    <w:p>
      <w:pPr>
        <w:pStyle w:val="Compact"/>
        <w:numPr>
          <w:ilvl w:val="0"/>
          <w:numId w:val="1006"/>
        </w:numPr>
      </w:pPr>
      <w:r>
        <w:t xml:space="preserve">Final trigger definition for one-fever vs persistent-fever pathway.</w:t>
      </w:r>
    </w:p>
    <w:p>
      <w:pPr>
        <w:pStyle w:val="Compact"/>
        <w:numPr>
          <w:ilvl w:val="0"/>
          <w:numId w:val="1006"/>
        </w:numPr>
      </w:pPr>
      <w:r>
        <w:t xml:space="preserve">Required provider sign-off conditions.</w:t>
      </w:r>
    </w:p>
    <w:p>
      <w:pPr>
        <w:pStyle w:val="Compact"/>
        <w:numPr>
          <w:ilvl w:val="0"/>
          <w:numId w:val="1006"/>
        </w:numPr>
      </w:pPr>
      <w:r>
        <w:t xml:space="preserve">Resident education rollout date.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2026-02-26T15:54:20Z</dcterms:created>
  <dcterms:modified xsi:type="dcterms:W3CDTF">2026-02-26T15:54:20Z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