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0" w:name="X604366580fe670c8aa11b7d27d28bbf7fdfa12c"/>
    <w:p>
      <w:pPr>
        <w:pStyle w:val="Heading1"/>
      </w:pPr>
      <w:r>
        <w:t xml:space="preserve">Older Adult Trauma Resident Handout (Age &gt;=65)</w:t>
      </w:r>
    </w:p>
    <w:p>
      <w:pPr>
        <w:pStyle w:val="FirstParagraph"/>
      </w:pPr>
      <w:r>
        <w:rPr>
          <w:b/>
          <w:bCs/>
        </w:rPr>
        <w:t xml:space="preserve">Primary objective:</w:t>
      </w:r>
      <w:r>
        <w:t xml:space="preserve"> </w:t>
      </w:r>
      <w:r>
        <w:t xml:space="preserve">prevent under-triage, delayed reversal, and failure-to-rescue.</w:t>
      </w:r>
    </w:p>
    <w:bookmarkStart w:id="20" w:name="front-end-triage-triggers"/>
    <w:p>
      <w:pPr>
        <w:pStyle w:val="Heading2"/>
      </w:pPr>
      <w:r>
        <w:t xml:space="preserve">1) Front-End Triage Triggers</w:t>
      </w:r>
    </w:p>
    <w:p>
      <w:pPr>
        <w:pStyle w:val="Compact"/>
        <w:numPr>
          <w:ilvl w:val="0"/>
          <w:numId w:val="1001"/>
        </w:numPr>
      </w:pPr>
      <w:r>
        <w:t xml:space="preserve">Geriatric shock trigger: SBP &lt;110 mmHg OR HR &gt;90 bpm.</w:t>
      </w:r>
    </w:p>
    <w:p>
      <w:pPr>
        <w:pStyle w:val="Compact"/>
        <w:numPr>
          <w:ilvl w:val="0"/>
          <w:numId w:val="1001"/>
        </w:numPr>
      </w:pPr>
      <w:r>
        <w:t xml:space="preserve">If trigger met: escalate trauma activation by one tier.</w:t>
      </w:r>
    </w:p>
    <w:p>
      <w:pPr>
        <w:pStyle w:val="Compact"/>
        <w:numPr>
          <w:ilvl w:val="0"/>
          <w:numId w:val="1001"/>
        </w:numPr>
      </w:pPr>
      <w:r>
        <w:t xml:space="preserve">Do not rely on HR alone (beta-blockers can mask tachycardia).</w:t>
      </w:r>
    </w:p>
    <w:bookmarkEnd w:id="20"/>
    <w:bookmarkStart w:id="21" w:name="arrival-algorithm-first-hours"/>
    <w:p>
      <w:pPr>
        <w:pStyle w:val="Heading2"/>
      </w:pPr>
      <w:r>
        <w:t xml:space="preserve">2) Arrival Algorithm (First Hours)</w:t>
      </w:r>
    </w:p>
    <w:p>
      <w:pPr>
        <w:pStyle w:val="Compact"/>
        <w:numPr>
          <w:ilvl w:val="0"/>
          <w:numId w:val="1002"/>
        </w:numPr>
      </w:pPr>
      <w:r>
        <w:t xml:space="preserve">Standard ATLS + immediate medication reconciliation.</w:t>
      </w:r>
    </w:p>
    <w:p>
      <w:pPr>
        <w:pStyle w:val="Compact"/>
        <w:numPr>
          <w:ilvl w:val="0"/>
          <w:numId w:val="1002"/>
        </w:numPr>
      </w:pPr>
      <w:r>
        <w:t xml:space="preserve">Obtain POC INR and/or anti-Xa when anticoagulation exposure is possible.</w:t>
      </w:r>
    </w:p>
    <w:p>
      <w:pPr>
        <w:pStyle w:val="Compact"/>
        <w:numPr>
          <w:ilvl w:val="0"/>
          <w:numId w:val="1002"/>
        </w:numPr>
      </w:pPr>
      <w:r>
        <w:t xml:space="preserve">If head strike/mechanism concern or anticoagulated: mandatory CT head.</w:t>
      </w:r>
    </w:p>
    <w:p>
      <w:pPr>
        <w:pStyle w:val="Compact"/>
        <w:numPr>
          <w:ilvl w:val="0"/>
          <w:numId w:val="1002"/>
        </w:numPr>
      </w:pPr>
      <w:r>
        <w:t xml:space="preserve">If ICH + anticoagulated: start reversal pathway immediately (target &lt;=60 min from arrival).</w:t>
      </w:r>
    </w:p>
    <w:p>
      <w:pPr>
        <w:pStyle w:val="Compact"/>
        <w:numPr>
          <w:ilvl w:val="0"/>
          <w:numId w:val="1002"/>
        </w:numPr>
      </w:pPr>
      <w:r>
        <w:t xml:space="preserve">Assign frailty (Rockwood CFS) within 24h using pre-injury baseline function.</w:t>
      </w:r>
    </w:p>
    <w:p>
      <w:pPr>
        <w:pStyle w:val="Compact"/>
        <w:numPr>
          <w:ilvl w:val="0"/>
          <w:numId w:val="1002"/>
        </w:numPr>
      </w:pPr>
      <w:r>
        <w:t xml:space="preserve">If rib fractures: apply geriatric rib-fracture escalation thresholds.</w:t>
      </w:r>
    </w:p>
    <w:bookmarkEnd w:id="21"/>
    <w:bookmarkStart w:id="22" w:name="frailty-guided-disposition-rockwood-cfs"/>
    <w:p>
      <w:pPr>
        <w:pStyle w:val="Heading2"/>
      </w:pPr>
      <w:r>
        <w:t xml:space="preserve">3) Frailty-Guided Disposition (Rockwood CFS)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CFS Group</w:t>
            </w:r>
          </w:p>
        </w:tc>
        <w:tc>
          <w:tcPr/>
          <w:p>
            <w:pPr>
              <w:pStyle w:val="Compact"/>
            </w:pPr>
            <w:r>
              <w:t xml:space="preserve">Operational Pathway</w:t>
            </w:r>
          </w:p>
        </w:tc>
      </w:tr>
      <w:tr>
        <w:tc>
          <w:tcPr/>
          <w:p>
            <w:pPr>
              <w:pStyle w:val="Compact"/>
            </w:pPr>
            <w:r>
              <w:t xml:space="preserve">1-4</w:t>
            </w:r>
          </w:p>
        </w:tc>
        <w:tc>
          <w:tcPr/>
          <w:p>
            <w:pPr>
              <w:pStyle w:val="Compact"/>
            </w:pPr>
            <w:r>
              <w:t xml:space="preserve">Standard trauma pathway with early fall-risk and med review</w:t>
            </w:r>
          </w:p>
        </w:tc>
      </w:tr>
      <w:tr>
        <w:tc>
          <w:tcPr/>
          <w:p>
            <w:pPr>
              <w:pStyle w:val="Compact"/>
            </w:pPr>
            <w:r>
              <w:t xml:space="preserve">5-6</w:t>
            </w:r>
          </w:p>
        </w:tc>
        <w:tc>
          <w:tcPr/>
          <w:p>
            <w:pPr>
              <w:pStyle w:val="Compact"/>
            </w:pPr>
            <w:r>
              <w:t xml:space="preserve">Lower ICU threshold, delirium bundle, PT/OT day 1, social work screen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7-8</w:t>
            </w:r>
          </w:p>
        </w:tc>
        <w:tc>
          <w:tcPr/>
          <w:p>
            <w:pPr>
              <w:pStyle w:val="Compact"/>
            </w:pPr>
            <w:r>
              <w:t xml:space="preserve">Early goals-of-care discussion, palliative consult, conservative escalation bias</w:t>
            </w:r>
          </w:p>
        </w:tc>
      </w:tr>
      <w:tr>
        <w:tc>
          <w:tcPr/>
          <w:p>
            <w:pPr>
              <w:pStyle w:val="Compac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  <w:r>
              <w:t xml:space="preserve">Comfort-focused care discussion with patient/surrogate</w:t>
            </w:r>
          </w:p>
        </w:tc>
      </w:tr>
    </w:tbl>
    <w:bookmarkEnd w:id="22"/>
    <w:bookmarkStart w:id="23" w:name="Xf5d423e7d3a39b99a75116b11dfec12c461fa36"/>
    <w:p>
      <w:pPr>
        <w:pStyle w:val="Heading2"/>
      </w:pPr>
      <w:r>
        <w:t xml:space="preserve">4) Delirium Prevention Bundle (Start on Admission)</w:t>
      </w:r>
    </w:p>
    <w:p>
      <w:pPr>
        <w:pStyle w:val="Compact"/>
        <w:numPr>
          <w:ilvl w:val="0"/>
          <w:numId w:val="1003"/>
        </w:numPr>
      </w:pPr>
      <w:r>
        <w:t xml:space="preserve">Sleep protection (night-time light/noise control, avoid overnight disruptions when possible).</w:t>
      </w:r>
    </w:p>
    <w:p>
      <w:pPr>
        <w:pStyle w:val="Compact"/>
        <w:numPr>
          <w:ilvl w:val="0"/>
          <w:numId w:val="1003"/>
        </w:numPr>
      </w:pPr>
      <w:r>
        <w:t xml:space="preserve">Medication discipline (avoid high-risk anticholinergic/benzodiazepine patterns when avoidable).</w:t>
      </w:r>
    </w:p>
    <w:p>
      <w:pPr>
        <w:pStyle w:val="Compact"/>
        <w:numPr>
          <w:ilvl w:val="0"/>
          <w:numId w:val="1003"/>
        </w:numPr>
      </w:pPr>
      <w:r>
        <w:t xml:space="preserve">Remove non-essential lines/tethers early.</w:t>
      </w:r>
    </w:p>
    <w:p>
      <w:pPr>
        <w:pStyle w:val="Compact"/>
        <w:numPr>
          <w:ilvl w:val="0"/>
          <w:numId w:val="1003"/>
        </w:numPr>
      </w:pPr>
      <w:r>
        <w:t xml:space="preserve">Early mobility + sensory optimization (hearing/vision aids).</w:t>
      </w:r>
    </w:p>
    <w:p>
      <w:pPr>
        <w:pStyle w:val="Compact"/>
        <w:numPr>
          <w:ilvl w:val="0"/>
          <w:numId w:val="1003"/>
        </w:numPr>
      </w:pPr>
      <w:r>
        <w:t xml:space="preserve">Reassess delirium/fall risk and med list at least q12h.</w:t>
      </w:r>
    </w:p>
    <w:bookmarkEnd w:id="23"/>
    <w:bookmarkStart w:id="25" w:name="X333fba29ff027e39f5428a954ad0c7b2936ef02"/>
    <w:p>
      <w:pPr>
        <w:pStyle w:val="Heading2"/>
      </w:pPr>
      <w:r>
        <w:t xml:space="preserve">5) ICH + Anticoagulation Reversal (Target &lt;=60 min)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Agent Exposure</w:t>
            </w:r>
          </w:p>
        </w:tc>
        <w:tc>
          <w:tcPr/>
          <w:p>
            <w:pPr>
              <w:pStyle w:val="Compact"/>
            </w:pPr>
            <w:r>
              <w:t xml:space="preserve">Recommended Reversal</w:t>
            </w:r>
          </w:p>
        </w:tc>
      </w:tr>
      <w:tr>
        <w:tc>
          <w:tcPr/>
          <w:p>
            <w:pPr>
              <w:pStyle w:val="Compact"/>
            </w:pPr>
            <w:r>
              <w:t xml:space="preserve">Warfarin</w:t>
            </w:r>
          </w:p>
        </w:tc>
        <w:tc>
          <w:tcPr/>
          <w:p>
            <w:pPr>
              <w:pStyle w:val="Compact"/>
            </w:pPr>
            <w:r>
              <w:t xml:space="preserve">4F-PCC (INR based: 25/35/50 units/kg by INR bracket) + vitamin K 10 mg IV</w:t>
            </w:r>
          </w:p>
        </w:tc>
      </w:tr>
      <w:tr>
        <w:tc>
          <w:tcPr/>
          <w:p>
            <w:pPr>
              <w:pStyle w:val="Compact"/>
            </w:pPr>
            <w:r>
              <w:t xml:space="preserve">Apixaban/Rivaroxaban</w:t>
            </w:r>
          </w:p>
        </w:tc>
        <w:tc>
          <w:tcPr/>
          <w:p>
            <w:pPr>
              <w:pStyle w:val="Compact"/>
            </w:pPr>
            <w:r>
              <w:t xml:space="preserve">4F-PCC 25-50 units/kg IV (starting at 25 units/kg may be appropriate in selected cases)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Dabigatran</w:t>
            </w:r>
          </w:p>
        </w:tc>
        <w:tc>
          <w:tcPr/>
          <w:p>
            <w:pPr>
              <w:pStyle w:val="Compact"/>
            </w:pPr>
            <w:r>
              <w:t xml:space="preserve">Idarucizumab 5 g IV x1</w:t>
            </w:r>
          </w:p>
        </w:tc>
      </w:tr>
      <w:tr>
        <w:tc>
          <w:tcPr/>
          <w:p>
            <w:pPr>
              <w:pStyle w:val="Compact"/>
            </w:pPr>
            <w:r>
              <w:t xml:space="preserve">Antiplatelet-associated ICH</w:t>
            </w:r>
          </w:p>
        </w:tc>
        <w:tc>
          <w:tcPr/>
          <w:p>
            <w:pPr>
              <w:pStyle w:val="Compact"/>
            </w:pPr>
            <w:r>
              <w:t xml:space="preserve">DDAVP 0.3 mcg/kg IV x1 (case-selected); avoid routine platelet transfusion unless neurosurgical indication</w:t>
            </w:r>
          </w:p>
        </w:tc>
      </w:tr>
    </w:tbl>
    <w:bookmarkStart w:id="24" w:name="reversal-safety-and-follow-up"/>
    <w:p>
      <w:pPr>
        <w:pStyle w:val="Heading3"/>
      </w:pPr>
      <w:r>
        <w:t xml:space="preserve">Reversal safety and follow-up</w:t>
      </w:r>
    </w:p>
    <w:p>
      <w:pPr>
        <w:pStyle w:val="Compact"/>
        <w:numPr>
          <w:ilvl w:val="0"/>
          <w:numId w:val="1004"/>
        </w:numPr>
      </w:pPr>
      <w:r>
        <w:t xml:space="preserve">Monitor for thrombosis after PCC.</w:t>
      </w:r>
    </w:p>
    <w:p>
      <w:pPr>
        <w:pStyle w:val="Compact"/>
        <w:numPr>
          <w:ilvl w:val="0"/>
          <w:numId w:val="1004"/>
        </w:numPr>
      </w:pPr>
      <w:r>
        <w:t xml:space="preserve">Resume VTE prophylaxis as soon as clinically appropriate per VTE protocol.</w:t>
      </w:r>
    </w:p>
    <w:p>
      <w:pPr>
        <w:pStyle w:val="Compact"/>
        <w:numPr>
          <w:ilvl w:val="0"/>
          <w:numId w:val="1004"/>
        </w:numPr>
      </w:pPr>
      <w:r>
        <w:t xml:space="preserve">Anticoagulation resumption after ICH is generally considered around 7-8 weeks (earlier in selected high-thrombotic-risk cases with multidisciplinary input).</w:t>
      </w:r>
    </w:p>
    <w:bookmarkEnd w:id="24"/>
    <w:bookmarkEnd w:id="25"/>
    <w:bookmarkStart w:id="26" w:name="geriatric-rib-fracture-escalation"/>
    <w:p>
      <w:pPr>
        <w:pStyle w:val="Heading2"/>
      </w:pPr>
      <w:r>
        <w:t xml:space="preserve">6) Geriatric Rib Fracture Escalation</w:t>
      </w:r>
    </w:p>
    <w:p>
      <w:pPr>
        <w:pStyle w:val="Compact"/>
        <w:numPr>
          <w:ilvl w:val="0"/>
          <w:numId w:val="1005"/>
        </w:numPr>
      </w:pPr>
      <w:r>
        <w:t xml:space="preserve">Use CWITS-25-IS risk framework.</w:t>
      </w:r>
    </w:p>
    <w:p>
      <w:pPr>
        <w:pStyle w:val="Compact"/>
        <w:numPr>
          <w:ilvl w:val="0"/>
          <w:numId w:val="1005"/>
        </w:numPr>
      </w:pPr>
      <w:r>
        <w:t xml:space="preserve">If score &gt;=4 (ward threshold), consider ICU for older adult.</w:t>
      </w:r>
    </w:p>
    <w:p>
      <w:pPr>
        <w:pStyle w:val="Compact"/>
        <w:numPr>
          <w:ilvl w:val="0"/>
          <w:numId w:val="1005"/>
        </w:numPr>
      </w:pPr>
      <w:r>
        <w:t xml:space="preserve">If score &gt;=7, strongly consider early SSRF discussion.</w:t>
      </w:r>
    </w:p>
    <w:p>
      <w:pPr>
        <w:pStyle w:val="Compact"/>
        <w:numPr>
          <w:ilvl w:val="0"/>
          <w:numId w:val="1005"/>
        </w:numPr>
      </w:pPr>
      <w:r>
        <w:t xml:space="preserve">Aim for regional analgesia within 12 hours when feasible.</w:t>
      </w:r>
    </w:p>
    <w:bookmarkEnd w:id="26"/>
    <w:bookmarkStart w:id="27" w:name="hard-stops"/>
    <w:p>
      <w:pPr>
        <w:pStyle w:val="Heading2"/>
      </w:pPr>
      <w:r>
        <w:t xml:space="preserve">7) Hard Stops</w:t>
      </w:r>
    </w:p>
    <w:p>
      <w:pPr>
        <w:pStyle w:val="Compact"/>
        <w:numPr>
          <w:ilvl w:val="0"/>
          <w:numId w:val="1006"/>
        </w:numPr>
      </w:pPr>
      <w:r>
        <w:t xml:space="preserve">Do not under-triage SBP &lt;110 as</w:t>
      </w:r>
      <w:r>
        <w:t xml:space="preserve"> </w:t>
      </w:r>
      <w:r>
        <w:t xml:space="preserve">“stable”</w:t>
      </w:r>
      <w:r>
        <w:t xml:space="preserve"> </w:t>
      </w:r>
      <w:r>
        <w:t xml:space="preserve">because it is not hypotensive by younger-adult criteria.</w:t>
      </w:r>
    </w:p>
    <w:p>
      <w:pPr>
        <w:pStyle w:val="Compact"/>
        <w:numPr>
          <w:ilvl w:val="0"/>
          <w:numId w:val="1006"/>
        </w:numPr>
      </w:pPr>
      <w:r>
        <w:t xml:space="preserve">Do not delay reversal while waiting for non-critical steps.</w:t>
      </w:r>
    </w:p>
    <w:p>
      <w:pPr>
        <w:pStyle w:val="Compact"/>
        <w:numPr>
          <w:ilvl w:val="0"/>
          <w:numId w:val="1006"/>
        </w:numPr>
      </w:pPr>
      <w:r>
        <w:t xml:space="preserve">Do not skip frailty scoring or delirium prevention in first 24h.</w:t>
      </w:r>
    </w:p>
    <w:p>
      <w:pPr>
        <w:pStyle w:val="Compact"/>
        <w:numPr>
          <w:ilvl w:val="0"/>
          <w:numId w:val="1006"/>
        </w:numPr>
      </w:pPr>
      <w:r>
        <w:t xml:space="preserve">Do not omit goals-of-care discussions in high-frailty trajectories.</w:t>
      </w:r>
    </w:p>
    <w:bookmarkEnd w:id="27"/>
    <w:bookmarkStart w:id="28" w:name="pips-metrics"/>
    <w:p>
      <w:pPr>
        <w:pStyle w:val="Heading2"/>
      </w:pPr>
      <w:r>
        <w:t xml:space="preserve">8) PIPS Metrics</w:t>
      </w:r>
    </w:p>
    <w:p>
      <w:pPr>
        <w:pStyle w:val="Compact"/>
        <w:numPr>
          <w:ilvl w:val="0"/>
          <w:numId w:val="1007"/>
        </w:numPr>
      </w:pPr>
      <w:r>
        <w:t xml:space="preserve">Reversal speed for anticoagulated ICH: target &lt;=60 min.</w:t>
      </w:r>
    </w:p>
    <w:p>
      <w:pPr>
        <w:pStyle w:val="Compact"/>
        <w:numPr>
          <w:ilvl w:val="0"/>
          <w:numId w:val="1007"/>
        </w:numPr>
      </w:pPr>
      <w:r>
        <w:t xml:space="preserve">Under-triage rate in geriatric shock phenotype: target &lt;5%.</w:t>
      </w:r>
    </w:p>
    <w:p>
      <w:pPr>
        <w:pStyle w:val="Compact"/>
        <w:numPr>
          <w:ilvl w:val="0"/>
          <w:numId w:val="1007"/>
        </w:numPr>
      </w:pPr>
      <w:r>
        <w:t xml:space="preserve">Unplanned ICU transfer from floor in older adults: target &lt;2%.</w:t>
      </w:r>
    </w:p>
    <w:bookmarkEnd w:id="28"/>
    <w:bookmarkStart w:id="29" w:name="source-basis"/>
    <w:p>
      <w:pPr>
        <w:pStyle w:val="Heading2"/>
      </w:pPr>
      <w:r>
        <w:t xml:space="preserve">Source Basis</w:t>
      </w:r>
    </w:p>
    <w:p>
      <w:pPr>
        <w:pStyle w:val="FirstParagraph"/>
      </w:pPr>
      <w:r>
        <w:t xml:space="preserve">Condensed from active older adult trauma guideline content (current revision pending formal approval, in active operational use).</w:t>
      </w:r>
    </w:p>
    <w:bookmarkEnd w:id="29"/>
    <w:bookmarkEnd w:id="3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2026-02-26T19:19:40Z</dcterms:created>
  <dcterms:modified xsi:type="dcterms:W3CDTF">2026-02-26T19:19:40Z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