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orthopaedic-trauma-resident-handout"/>
    <w:p>
      <w:pPr>
        <w:pStyle w:val="Heading1"/>
      </w:pPr>
      <w:r>
        <w:t xml:space="preserve">Orthopaedic Trauma Resident Handout</w:t>
      </w:r>
    </w:p>
    <w:bookmarkStart w:id="23" w:name="pelvic-fracture-hemorrhage-pathway"/>
    <w:p>
      <w:pPr>
        <w:pStyle w:val="Heading2"/>
      </w:pPr>
      <w:r>
        <w:t xml:space="preserve">1) Pelvic Fracture Hemorrhage Pathway</w:t>
      </w:r>
    </w:p>
    <w:bookmarkStart w:id="20" w:name="immediate-suspicion-and-binder-use"/>
    <w:p>
      <w:pPr>
        <w:pStyle w:val="Heading3"/>
      </w:pPr>
      <w:r>
        <w:t xml:space="preserve">Immediate suspicion and binder use</w:t>
      </w:r>
    </w:p>
    <w:p>
      <w:pPr>
        <w:pStyle w:val="Compact"/>
        <w:numPr>
          <w:ilvl w:val="0"/>
          <w:numId w:val="1001"/>
        </w:numPr>
      </w:pPr>
      <w:r>
        <w:t xml:space="preserve">Suspect unstable pelvic injury in high-energy blunt trauma with shock pattern.</w:t>
      </w:r>
    </w:p>
    <w:p>
      <w:pPr>
        <w:pStyle w:val="Compact"/>
        <w:numPr>
          <w:ilvl w:val="0"/>
          <w:numId w:val="1001"/>
        </w:numPr>
      </w:pPr>
      <w:r>
        <w:t xml:space="preserve">Binder indication: hypotension with suspected unstable/open-book pelvic mechanism.</w:t>
      </w:r>
    </w:p>
    <w:p>
      <w:pPr>
        <w:pStyle w:val="Compact"/>
        <w:numPr>
          <w:ilvl w:val="0"/>
          <w:numId w:val="1001"/>
        </w:numPr>
      </w:pPr>
      <w:r>
        <w:t xml:space="preserve">Binder placement: centered over greater trochanters (not iliac wings/belt line).</w:t>
      </w:r>
    </w:p>
    <w:bookmarkEnd w:id="20"/>
    <w:bookmarkStart w:id="21" w:name="binder-safety-limits"/>
    <w:p>
      <w:pPr>
        <w:pStyle w:val="Heading3"/>
      </w:pPr>
      <w:r>
        <w:t xml:space="preserve">Binder safety limits</w:t>
      </w:r>
    </w:p>
    <w:p>
      <w:pPr>
        <w:pStyle w:val="Compact"/>
        <w:numPr>
          <w:ilvl w:val="0"/>
          <w:numId w:val="1002"/>
        </w:numPr>
      </w:pPr>
      <w:r>
        <w:t xml:space="preserve">Check pressure areas/skin every 12h.</w:t>
      </w:r>
    </w:p>
    <w:p>
      <w:pPr>
        <w:pStyle w:val="Compact"/>
        <w:numPr>
          <w:ilvl w:val="0"/>
          <w:numId w:val="1002"/>
        </w:numPr>
      </w:pPr>
      <w:r>
        <w:t xml:space="preserve">Aim to remove within 24h (absolute maximum 48h).</w:t>
      </w:r>
    </w:p>
    <w:p>
      <w:pPr>
        <w:pStyle w:val="Compact"/>
        <w:numPr>
          <w:ilvl w:val="0"/>
          <w:numId w:val="1002"/>
        </w:numPr>
      </w:pPr>
      <w:r>
        <w:t xml:space="preserve">Convert to definitive stabilization as soon as physiology allows.</w:t>
      </w:r>
    </w:p>
    <w:bookmarkEnd w:id="21"/>
    <w:bookmarkStart w:id="22" w:name="hemodynamic-branching"/>
    <w:p>
      <w:pPr>
        <w:pStyle w:val="Heading3"/>
      </w:pPr>
      <w:r>
        <w:t xml:space="preserve">Hemodynamic branching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Patient State</w:t>
            </w:r>
          </w:p>
        </w:tc>
        <w:tc>
          <w:tcPr/>
          <w:p>
            <w:pPr>
              <w:pStyle w:val="Compact"/>
            </w:pPr>
            <w:r>
              <w:t xml:space="preserve">Immediate 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Unstable/transient responder</w:t>
            </w:r>
          </w:p>
        </w:tc>
        <w:tc>
          <w:tcPr/>
          <w:p>
            <w:pPr>
              <w:pStyle w:val="Compact"/>
            </w:pPr>
            <w:r>
              <w:t xml:space="preserve">Binder -&gt; MTP -&gt; FAST; FAST+ consider emergent laparotomy +/- PPP; FAST- consider PPP +/- ex-fix; angioembolization if persistent instability or arterial blush when stabilized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Stable/responder</w:t>
            </w:r>
          </w:p>
        </w:tc>
        <w:tc>
          <w:tcPr/>
          <w:p>
            <w:pPr>
              <w:pStyle w:val="Compact"/>
            </w:pPr>
            <w:r>
              <w:t xml:space="preserve">CT A/P with contrast; if arterial blush then angioembolization; proceed to definitive ortho planning</w:t>
            </w:r>
          </w:p>
        </w:tc>
      </w:tr>
    </w:tbl>
    <w:bookmarkEnd w:id="22"/>
    <w:bookmarkEnd w:id="23"/>
    <w:bookmarkStart w:id="27" w:name="X4d91867efbafc3d800dcf6248a8681d56e789a0"/>
    <w:p>
      <w:pPr>
        <w:pStyle w:val="Heading2"/>
      </w:pPr>
      <w:r>
        <w:t xml:space="preserve">2) Open Fracture Infection-Prevention Priorities</w:t>
      </w:r>
    </w:p>
    <w:bookmarkStart w:id="24" w:name="tqip-timing-targets"/>
    <w:p>
      <w:pPr>
        <w:pStyle w:val="Heading3"/>
      </w:pPr>
      <w:r>
        <w:t xml:space="preserve">TQIP timing targets</w:t>
      </w:r>
    </w:p>
    <w:p>
      <w:pPr>
        <w:pStyle w:val="Compact"/>
        <w:numPr>
          <w:ilvl w:val="0"/>
          <w:numId w:val="1003"/>
        </w:numPr>
      </w:pPr>
      <w:r>
        <w:t xml:space="preserve">Antibiotics &lt;=60 minutes from ED arrival.</w:t>
      </w:r>
    </w:p>
    <w:p>
      <w:pPr>
        <w:pStyle w:val="Compact"/>
        <w:numPr>
          <w:ilvl w:val="0"/>
          <w:numId w:val="1003"/>
        </w:numPr>
      </w:pPr>
      <w:r>
        <w:t xml:space="preserve">Debridement within 24h (emergent if vascular compromise, compartment syndrome, or gross contamination).</w:t>
      </w:r>
    </w:p>
    <w:p>
      <w:pPr>
        <w:pStyle w:val="Compact"/>
        <w:numPr>
          <w:ilvl w:val="0"/>
          <w:numId w:val="1003"/>
        </w:numPr>
      </w:pPr>
      <w:r>
        <w:t xml:space="preserve">Soft-tissue coverage within 7 days when flap/graft required.</w:t>
      </w:r>
    </w:p>
    <w:bookmarkEnd w:id="24"/>
    <w:bookmarkStart w:id="25" w:name="antibiotic-starter-table"/>
    <w:p>
      <w:pPr>
        <w:pStyle w:val="Heading3"/>
      </w:pPr>
      <w:r>
        <w:t xml:space="preserve">Antibiotic starter table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Gustilo Type</w:t>
            </w:r>
          </w:p>
        </w:tc>
        <w:tc>
          <w:tcPr/>
          <w:p>
            <w:pPr>
              <w:pStyle w:val="Compact"/>
            </w:pPr>
            <w:r>
              <w:t xml:space="preserve">Typical Regimen</w:t>
            </w:r>
          </w:p>
        </w:tc>
        <w:tc>
          <w:tcPr/>
          <w:p>
            <w:pPr>
              <w:pStyle w:val="Compact"/>
            </w:pPr>
            <w:r>
              <w:t xml:space="preserve">Duration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I/II</w:t>
            </w:r>
          </w:p>
        </w:tc>
        <w:tc>
          <w:tcPr/>
          <w:p>
            <w:pPr>
              <w:pStyle w:val="Compact"/>
            </w:pPr>
            <w:r>
              <w:t xml:space="preserve">Cefazolin 2 g IV q8h</w:t>
            </w:r>
          </w:p>
        </w:tc>
        <w:tc>
          <w:tcPr/>
          <w:p>
            <w:pPr>
              <w:pStyle w:val="Compact"/>
            </w:pPr>
            <w:r>
              <w:t xml:space="preserve">24h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III</w:t>
            </w:r>
          </w:p>
        </w:tc>
        <w:tc>
          <w:tcPr/>
          <w:p>
            <w:pPr>
              <w:pStyle w:val="Compact"/>
            </w:pPr>
            <w:r>
              <w:t xml:space="preserve">Ceftriaxone 2 g IV q24h</w:t>
            </w:r>
          </w:p>
        </w:tc>
        <w:tc>
          <w:tcPr/>
          <w:p>
            <w:pPr>
              <w:pStyle w:val="Compact"/>
            </w:pPr>
            <w:r>
              <w:t xml:space="preserve">24h post-op (max 72h)</w:t>
            </w:r>
          </w:p>
        </w:tc>
      </w:tr>
    </w:tbl>
    <w:bookmarkEnd w:id="25"/>
    <w:bookmarkStart w:id="26" w:name="ed-wound-management"/>
    <w:p>
      <w:pPr>
        <w:pStyle w:val="Heading3"/>
      </w:pPr>
      <w:r>
        <w:t xml:space="preserve">ED wound management</w:t>
      </w:r>
    </w:p>
    <w:p>
      <w:pPr>
        <w:pStyle w:val="Compact"/>
        <w:numPr>
          <w:ilvl w:val="0"/>
          <w:numId w:val="1004"/>
        </w:numPr>
      </w:pPr>
      <w:r>
        <w:t xml:space="preserve">Remove gross contamination.</w:t>
      </w:r>
    </w:p>
    <w:p>
      <w:pPr>
        <w:pStyle w:val="Compact"/>
        <w:numPr>
          <w:ilvl w:val="0"/>
          <w:numId w:val="1004"/>
        </w:numPr>
      </w:pPr>
      <w:r>
        <w:t xml:space="preserve">Apply saline-moistened sterile dressing, then dry sterile wrap.</w:t>
      </w:r>
    </w:p>
    <w:p>
      <w:pPr>
        <w:pStyle w:val="Compact"/>
        <w:numPr>
          <w:ilvl w:val="0"/>
          <w:numId w:val="1004"/>
        </w:numPr>
      </w:pPr>
      <w:r>
        <w:t xml:space="preserve">No high-pressure ED lavage.</w:t>
      </w:r>
    </w:p>
    <w:p>
      <w:pPr>
        <w:pStyle w:val="Compact"/>
        <w:numPr>
          <w:ilvl w:val="0"/>
          <w:numId w:val="1004"/>
        </w:numPr>
      </w:pPr>
      <w:r>
        <w:t xml:space="preserve">Photograph wound before final dressing for OR documentation.</w:t>
      </w:r>
    </w:p>
    <w:bookmarkEnd w:id="26"/>
    <w:bookmarkEnd w:id="27"/>
    <w:bookmarkStart w:id="30" w:name="polytrauma-fixation-strategy-dco-vs-eac"/>
    <w:p>
      <w:pPr>
        <w:pStyle w:val="Heading2"/>
      </w:pPr>
      <w:r>
        <w:t xml:space="preserve">3) Polytrauma Fixation Strategy: DCO vs EAC</w:t>
      </w:r>
    </w:p>
    <w:bookmarkStart w:id="28" w:name="X6e9702c7a271da37b78c9d36bea89b5b4091299"/>
    <w:p>
      <w:pPr>
        <w:pStyle w:val="Heading3"/>
      </w:pPr>
      <w:r>
        <w:t xml:space="preserve">DCO (temporary stabilization) when physiology is poor</w:t>
      </w:r>
    </w:p>
    <w:p>
      <w:pPr>
        <w:pStyle w:val="FirstParagraph"/>
      </w:pPr>
      <w:r>
        <w:t xml:space="preserve">Use DCO if any major instability marker is present:</w:t>
      </w:r>
      <w:r>
        <w:t xml:space="preserve"> </w:t>
      </w:r>
      <w:r>
        <w:t xml:space="preserve">- pH &lt;7.25.</w:t>
      </w:r>
      <w:r>
        <w:t xml:space="preserve"> </w:t>
      </w:r>
      <w:r>
        <w:t xml:space="preserve">- Lactate &gt;4 mmol/L.</w:t>
      </w:r>
      <w:r>
        <w:t xml:space="preserve"> </w:t>
      </w:r>
      <w:r>
        <w:t xml:space="preserve">- Base deficit worse than -6.</w:t>
      </w:r>
      <w:r>
        <w:t xml:space="preserve"> </w:t>
      </w:r>
      <w:r>
        <w:t xml:space="preserve">- Temperature &lt;35 C.</w:t>
      </w:r>
      <w:r>
        <w:t xml:space="preserve"> </w:t>
      </w:r>
      <w:r>
        <w:t xml:space="preserve">- INR &gt;1.5.</w:t>
      </w:r>
      <w:r>
        <w:t xml:space="preserve"> </w:t>
      </w:r>
      <w:r>
        <w:t xml:space="preserve">- Ongoing MTP or persistent hemodynamic instability.</w:t>
      </w:r>
      <w:r>
        <w:t xml:space="preserve"> </w:t>
      </w:r>
      <w:r>
        <w:t xml:space="preserve">- Severe TBI/pulmonary injury where prolonged definitive fixation adds risk.</w:t>
      </w:r>
    </w:p>
    <w:bookmarkEnd w:id="28"/>
    <w:bookmarkStart w:id="29" w:name="X6c2be23e0559e84fc29496e96fa6a577e7bf5c8"/>
    <w:p>
      <w:pPr>
        <w:pStyle w:val="Heading3"/>
      </w:pPr>
      <w:r>
        <w:t xml:space="preserve">EAC (definitive fixation 24-36h) when resuscitation succeeds</w:t>
      </w:r>
    </w:p>
    <w:p>
      <w:pPr>
        <w:pStyle w:val="Compact"/>
        <w:numPr>
          <w:ilvl w:val="0"/>
          <w:numId w:val="1005"/>
        </w:numPr>
      </w:pPr>
      <w:r>
        <w:t xml:space="preserve">Hemodynamics stabilized.</w:t>
      </w:r>
    </w:p>
    <w:p>
      <w:pPr>
        <w:pStyle w:val="Compact"/>
        <w:numPr>
          <w:ilvl w:val="0"/>
          <w:numId w:val="1005"/>
        </w:numPr>
      </w:pPr>
      <w:r>
        <w:t xml:space="preserve">Lactate/base deficit improving/normalized.</w:t>
      </w:r>
    </w:p>
    <w:p>
      <w:pPr>
        <w:pStyle w:val="Compact"/>
        <w:numPr>
          <w:ilvl w:val="0"/>
          <w:numId w:val="1005"/>
        </w:numPr>
      </w:pPr>
      <w:r>
        <w:t xml:space="preserve">No ongoing major transfusion requirement.</w:t>
      </w:r>
    </w:p>
    <w:p>
      <w:pPr>
        <w:pStyle w:val="FirstParagraph"/>
      </w:pPr>
      <w:r>
        <w:rPr>
          <w:b/>
          <w:bCs/>
        </w:rPr>
        <w:t xml:space="preserve">Borderline patients:</w:t>
      </w:r>
      <w:r>
        <w:t xml:space="preserve"> </w:t>
      </w:r>
      <w:r>
        <w:t xml:space="preserve">reassess repeatedly; strategy can transition DCO &lt;-&gt; EAC as physiology evolves.</w:t>
      </w:r>
    </w:p>
    <w:bookmarkEnd w:id="29"/>
    <w:bookmarkEnd w:id="30"/>
    <w:bookmarkStart w:id="34" w:name="geriatric-hip-fracture-golden-24"/>
    <w:p>
      <w:pPr>
        <w:pStyle w:val="Heading2"/>
      </w:pPr>
      <w:r>
        <w:t xml:space="preserve">4) Geriatric Hip Fracture: Golden 24</w:t>
      </w:r>
    </w:p>
    <w:bookmarkStart w:id="31" w:name="timing-targets"/>
    <w:p>
      <w:pPr>
        <w:pStyle w:val="Heading3"/>
      </w:pPr>
      <w:r>
        <w:t xml:space="preserve">Timing targets</w:t>
      </w:r>
    </w:p>
    <w:p>
      <w:pPr>
        <w:pStyle w:val="Compact"/>
        <w:numPr>
          <w:ilvl w:val="0"/>
          <w:numId w:val="1006"/>
        </w:numPr>
      </w:pPr>
      <w:r>
        <w:t xml:space="preserve">Target: OR within 24h from ED arrival.</w:t>
      </w:r>
    </w:p>
    <w:p>
      <w:pPr>
        <w:pStyle w:val="Compact"/>
        <w:numPr>
          <w:ilvl w:val="0"/>
          <w:numId w:val="1006"/>
        </w:numPr>
      </w:pPr>
      <w:r>
        <w:t xml:space="preserve">Acceptable: up to 48h for brief, necessary medical optimization.</w:t>
      </w:r>
    </w:p>
    <w:p>
      <w:pPr>
        <w:pStyle w:val="Compact"/>
        <w:numPr>
          <w:ilvl w:val="0"/>
          <w:numId w:val="1006"/>
        </w:numPr>
      </w:pPr>
      <w:r>
        <w:t xml:space="preserve">Hard stop: &gt;48h is associated with major mortality increase.</w:t>
      </w:r>
    </w:p>
    <w:bookmarkEnd w:id="31"/>
    <w:bookmarkStart w:id="32" w:name="do-not-delay-surgery-for-these-alone"/>
    <w:p>
      <w:pPr>
        <w:pStyle w:val="Heading3"/>
      </w:pPr>
      <w:r>
        <w:t xml:space="preserve">Do not delay surgery for these alone</w:t>
      </w:r>
    </w:p>
    <w:p>
      <w:pPr>
        <w:pStyle w:val="Compact"/>
        <w:numPr>
          <w:ilvl w:val="0"/>
          <w:numId w:val="1007"/>
        </w:numPr>
      </w:pPr>
      <w:r>
        <w:t xml:space="preserve">Routine echo without management-changing indication.</w:t>
      </w:r>
    </w:p>
    <w:p>
      <w:pPr>
        <w:pStyle w:val="Compact"/>
        <w:numPr>
          <w:ilvl w:val="0"/>
          <w:numId w:val="1007"/>
        </w:numPr>
      </w:pPr>
      <w:r>
        <w:t xml:space="preserve">Routine cardiology clearance without active ischemia/unstable arrhythmia.</w:t>
      </w:r>
    </w:p>
    <w:p>
      <w:pPr>
        <w:pStyle w:val="Compact"/>
        <w:numPr>
          <w:ilvl w:val="0"/>
          <w:numId w:val="1007"/>
        </w:numPr>
      </w:pPr>
      <w:r>
        <w:t xml:space="preserve">Antiplatelet washout alone.</w:t>
      </w:r>
    </w:p>
    <w:p>
      <w:pPr>
        <w:pStyle w:val="Compact"/>
        <w:numPr>
          <w:ilvl w:val="0"/>
          <w:numId w:val="1007"/>
        </w:numPr>
      </w:pPr>
      <w:r>
        <w:t xml:space="preserve">Waiting for full INR normalization after appropriate reversal when operative team is ready.</w:t>
      </w:r>
    </w:p>
    <w:bookmarkEnd w:id="32"/>
    <w:bookmarkStart w:id="33" w:name="co-management-and-pain-strategy"/>
    <w:p>
      <w:pPr>
        <w:pStyle w:val="Heading3"/>
      </w:pPr>
      <w:r>
        <w:t xml:space="preserve">Co-management and pain strategy</w:t>
      </w:r>
    </w:p>
    <w:p>
      <w:pPr>
        <w:pStyle w:val="Compact"/>
        <w:numPr>
          <w:ilvl w:val="0"/>
          <w:numId w:val="1008"/>
        </w:numPr>
      </w:pPr>
      <w:r>
        <w:t xml:space="preserve">Early trauma + ortho + anesthesia + medicine/geriatrics alignment.</w:t>
      </w:r>
    </w:p>
    <w:p>
      <w:pPr>
        <w:pStyle w:val="Compact"/>
        <w:numPr>
          <w:ilvl w:val="0"/>
          <w:numId w:val="1008"/>
        </w:numPr>
      </w:pPr>
      <w:r>
        <w:t xml:space="preserve">Fascia iliaca block early when feasible.</w:t>
      </w:r>
    </w:p>
    <w:p>
      <w:pPr>
        <w:pStyle w:val="Compact"/>
        <w:numPr>
          <w:ilvl w:val="0"/>
          <w:numId w:val="1008"/>
        </w:numPr>
      </w:pPr>
      <w:r>
        <w:t xml:space="preserve">Delirium prevention and early mobilization planning from day 0.</w:t>
      </w:r>
    </w:p>
    <w:bookmarkEnd w:id="33"/>
    <w:bookmarkEnd w:id="34"/>
    <w:bookmarkStart w:id="35" w:name="hard-stops"/>
    <w:p>
      <w:pPr>
        <w:pStyle w:val="Heading2"/>
      </w:pPr>
      <w:r>
        <w:t xml:space="preserve">5) Hard Stops</w:t>
      </w:r>
    </w:p>
    <w:p>
      <w:pPr>
        <w:pStyle w:val="Compact"/>
        <w:numPr>
          <w:ilvl w:val="0"/>
          <w:numId w:val="1009"/>
        </w:numPr>
      </w:pPr>
      <w:r>
        <w:t xml:space="preserve">No binder placement above greater trochanters.</w:t>
      </w:r>
    </w:p>
    <w:p>
      <w:pPr>
        <w:pStyle w:val="Compact"/>
        <w:numPr>
          <w:ilvl w:val="0"/>
          <w:numId w:val="1009"/>
        </w:numPr>
      </w:pPr>
      <w:r>
        <w:t xml:space="preserve">No unexplained antibiotic delays beyond 60 min in open fractures.</w:t>
      </w:r>
    </w:p>
    <w:p>
      <w:pPr>
        <w:pStyle w:val="Compact"/>
        <w:numPr>
          <w:ilvl w:val="0"/>
          <w:numId w:val="1009"/>
        </w:numPr>
      </w:pPr>
      <w:r>
        <w:t xml:space="preserve">No unexplained debridement delay beyond 24h when indication present.</w:t>
      </w:r>
    </w:p>
    <w:p>
      <w:pPr>
        <w:pStyle w:val="Compact"/>
        <w:numPr>
          <w:ilvl w:val="0"/>
          <w:numId w:val="1009"/>
        </w:numPr>
      </w:pPr>
      <w:r>
        <w:t xml:space="preserve">No prolonged DCO posture after physiologic recovery without explicit rationale.</w:t>
      </w:r>
    </w:p>
    <w:p>
      <w:pPr>
        <w:pStyle w:val="Compact"/>
        <w:numPr>
          <w:ilvl w:val="0"/>
          <w:numId w:val="1009"/>
        </w:numPr>
      </w:pPr>
      <w:r>
        <w:t xml:space="preserve">No geriatric hip fracture delays &gt;48h without attending-level documentation of unavoidable cause.</w:t>
      </w:r>
    </w:p>
    <w:bookmarkEnd w:id="35"/>
    <w:bookmarkStart w:id="36" w:name="pips-metrics-to-track"/>
    <w:p>
      <w:pPr>
        <w:pStyle w:val="Heading2"/>
      </w:pPr>
      <w:r>
        <w:t xml:space="preserve">6) PIPS Metrics to Track</w:t>
      </w:r>
    </w:p>
    <w:p>
      <w:pPr>
        <w:pStyle w:val="Compact"/>
        <w:numPr>
          <w:ilvl w:val="0"/>
          <w:numId w:val="1010"/>
        </w:numPr>
      </w:pPr>
      <w:r>
        <w:t xml:space="preserve">Binder at greater trochanters: target 100%.</w:t>
      </w:r>
    </w:p>
    <w:p>
      <w:pPr>
        <w:pStyle w:val="Compact"/>
        <w:numPr>
          <w:ilvl w:val="0"/>
          <w:numId w:val="1010"/>
        </w:numPr>
      </w:pPr>
      <w:r>
        <w:t xml:space="preserve">Open-fracture antibiotics &lt;=60 min: target &gt;=90%.</w:t>
      </w:r>
    </w:p>
    <w:p>
      <w:pPr>
        <w:pStyle w:val="Compact"/>
        <w:numPr>
          <w:ilvl w:val="0"/>
          <w:numId w:val="1010"/>
        </w:numPr>
      </w:pPr>
      <w:r>
        <w:t xml:space="preserve">Open-fracture debridement &lt;=24h: target &gt;=90%.</w:t>
      </w:r>
    </w:p>
    <w:p>
      <w:pPr>
        <w:pStyle w:val="Compact"/>
        <w:numPr>
          <w:ilvl w:val="0"/>
          <w:numId w:val="1010"/>
        </w:numPr>
      </w:pPr>
      <w:r>
        <w:t xml:space="preserve">Geriatric hip fracture to OR &lt;=24h: target &gt;=80%.</w:t>
      </w:r>
    </w:p>
    <w:p>
      <w:pPr>
        <w:pStyle w:val="Compact"/>
        <w:numPr>
          <w:ilvl w:val="0"/>
          <w:numId w:val="1010"/>
        </w:numPr>
      </w:pPr>
      <w:r>
        <w:t xml:space="preserve">Geriatric hip fracture to OR &lt;=48h: target 100%.</w:t>
      </w:r>
    </w:p>
    <w:p>
      <w:pPr>
        <w:pStyle w:val="Compact"/>
        <w:numPr>
          <w:ilvl w:val="0"/>
          <w:numId w:val="1010"/>
        </w:numPr>
      </w:pPr>
      <w:r>
        <w:t xml:space="preserve">Binder duration &lt;=24h: target &gt;=95%.</w:t>
      </w:r>
    </w:p>
    <w:bookmarkEnd w:id="36"/>
    <w:bookmarkStart w:id="37" w:name="source-basis"/>
    <w:p>
      <w:pPr>
        <w:pStyle w:val="Heading2"/>
      </w:pPr>
      <w:r>
        <w:t xml:space="preserve">Source Basis</w:t>
      </w:r>
    </w:p>
    <w:p>
      <w:pPr>
        <w:pStyle w:val="FirstParagraph"/>
      </w:pPr>
      <w:r>
        <w:t xml:space="preserve">Condensed from active orthopaedic trauma guideline used in trauma workflow.</w:t>
      </w:r>
    </w:p>
    <w:bookmarkEnd w:id="37"/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2026-02-26T19:19:40Z</dcterms:created>
  <dcterms:modified xsi:type="dcterms:W3CDTF">2026-02-26T19:19:40Z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