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vapvae-resident-rounds-handout"/>
    <w:p>
      <w:pPr>
        <w:pStyle w:val="Heading1"/>
      </w:pPr>
      <w:r>
        <w:t xml:space="preserve">VAP/VAE Resident Rounds Handout</w:t>
      </w:r>
    </w:p>
    <w:p>
      <w:pPr>
        <w:pStyle w:val="FirstParagraph"/>
      </w:pPr>
      <w:r>
        <w:rPr>
          <w:b/>
          <w:bCs/>
        </w:rPr>
        <w:t xml:space="preserve">Applies to:</w:t>
      </w:r>
      <w:r>
        <w:t xml:space="preserve"> </w:t>
      </w:r>
      <w:r>
        <w:t xml:space="preserve">adult intubated trauma/SICU patients.</w:t>
      </w:r>
      <w:r>
        <w:t xml:space="preserve"> </w:t>
      </w:r>
      <w:r>
        <w:rPr>
          <w:b/>
          <w:bCs/>
        </w:rPr>
        <w:t xml:space="preserve">Rule:</w:t>
      </w:r>
      <w:r>
        <w:t xml:space="preserve"> </w:t>
      </w:r>
      <w:r>
        <w:t xml:space="preserve">every intubated patient, every day, with exception documentation.</w:t>
      </w:r>
    </w:p>
    <w:bookmarkStart w:id="20" w:name="core-bundle-requirements-daily"/>
    <w:p>
      <w:pPr>
        <w:pStyle w:val="Heading2"/>
      </w:pPr>
      <w:r>
        <w:t xml:space="preserve">Core Bundle Requirements (Daily)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Element</w:t>
            </w:r>
          </w:p>
        </w:tc>
        <w:tc>
          <w:tcPr/>
          <w:p>
            <w:pPr>
              <w:pStyle w:val="Compact"/>
            </w:pPr>
            <w:r>
              <w:t xml:space="preserve">Protocol Target</w:t>
            </w:r>
          </w:p>
        </w:tc>
        <w:tc>
          <w:tcPr/>
          <w:p>
            <w:pPr>
              <w:pStyle w:val="Compact"/>
            </w:pPr>
            <w:r>
              <w:t xml:space="preserve">Required Charting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HOB elevation</w:t>
            </w:r>
          </w:p>
        </w:tc>
        <w:tc>
          <w:tcPr/>
          <w:p>
            <w:pPr>
              <w:pStyle w:val="Compact"/>
            </w:pPr>
            <w:r>
              <w:t xml:space="preserve">30-45 degrees</w:t>
            </w:r>
          </w:p>
        </w:tc>
        <w:tc>
          <w:tcPr/>
          <w:p>
            <w:pPr>
              <w:pStyle w:val="Compact"/>
            </w:pPr>
            <w:r>
              <w:t xml:space="preserve">Angle or specific contraindication + alternative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Sedation strategy</w:t>
            </w:r>
          </w:p>
        </w:tc>
        <w:tc>
          <w:tcPr/>
          <w:p>
            <w:pPr>
              <w:pStyle w:val="Compact"/>
            </w:pPr>
            <w:r>
              <w:t xml:space="preserve">Target RASS -1 to 0 when clinically feasible; prefer non-benzodiazepines</w:t>
            </w:r>
          </w:p>
        </w:tc>
        <w:tc>
          <w:tcPr/>
          <w:p>
            <w:pPr>
              <w:pStyle w:val="Compact"/>
            </w:pPr>
            <w:r>
              <w:t xml:space="preserve">RASS target, agent(s), why deeper sedation if needed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SAT</w:t>
            </w:r>
          </w:p>
        </w:tc>
        <w:tc>
          <w:tcPr/>
          <w:p>
            <w:pPr>
              <w:pStyle w:val="Compact"/>
            </w:pPr>
            <w:r>
              <w:t xml:space="preserve">Daily attempt unless contraindicated</w:t>
            </w:r>
          </w:p>
        </w:tc>
        <w:tc>
          <w:tcPr/>
          <w:p>
            <w:pPr>
              <w:pStyle w:val="Compact"/>
            </w:pPr>
            <w:r>
              <w:t xml:space="preserve">Pass/fail/contraindicated + reason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SBT</w:t>
            </w:r>
          </w:p>
        </w:tc>
        <w:tc>
          <w:tcPr/>
          <w:p>
            <w:pPr>
              <w:pStyle w:val="Compact"/>
            </w:pPr>
            <w:r>
              <w:t xml:space="preserve">Daily attempt unless contraindicated</w:t>
            </w:r>
          </w:p>
        </w:tc>
        <w:tc>
          <w:tcPr/>
          <w:p>
            <w:pPr>
              <w:pStyle w:val="Compact"/>
            </w:pPr>
            <w:r>
              <w:t xml:space="preserve">SBT method (PS 5-8/PEEP 5 or T-piece), pass/fail/contraindicated + reason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Mobility</w:t>
            </w:r>
          </w:p>
        </w:tc>
        <w:tc>
          <w:tcPr/>
          <w:p>
            <w:pPr>
              <w:pStyle w:val="Compact"/>
            </w:pPr>
            <w:r>
              <w:t xml:space="preserve">Progressive pathway: passive ROM -&gt; active ROM -&gt; dangle -&gt; stand -&gt; ambulate</w:t>
            </w:r>
          </w:p>
        </w:tc>
        <w:tc>
          <w:tcPr/>
          <w:p>
            <w:pPr>
              <w:pStyle w:val="Compact"/>
            </w:pPr>
            <w:r>
              <w:t xml:space="preserve">Highest level achieved + barriers + next goal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Oral care</w:t>
            </w:r>
          </w:p>
        </w:tc>
        <w:tc>
          <w:tcPr/>
          <w:p>
            <w:pPr>
              <w:pStyle w:val="Compact"/>
            </w:pPr>
            <w:r>
              <w:t xml:space="preserve">Toothbrushing q12h + oropharyngeal suction q4h and PRN</w:t>
            </w:r>
          </w:p>
        </w:tc>
        <w:tc>
          <w:tcPr/>
          <w:p>
            <w:pPr>
              <w:pStyle w:val="Compact"/>
            </w:pPr>
            <w:r>
              <w:t xml:space="preserve">Both elements documented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Enteral nutrition</w:t>
            </w:r>
          </w:p>
        </w:tc>
        <w:tc>
          <w:tcPr/>
          <w:p>
            <w:pPr>
              <w:pStyle w:val="Compact"/>
            </w:pPr>
            <w:r>
              <w:t xml:space="preserve">Start within 24-48h when feasible; gastric first, post-pyloric if aspiration risk/intolerance</w:t>
            </w:r>
          </w:p>
        </w:tc>
        <w:tc>
          <w:tcPr/>
          <w:p>
            <w:pPr>
              <w:pStyle w:val="Compact"/>
            </w:pPr>
            <w:r>
              <w:t xml:space="preserve">Route + initiation status + reason for delay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Vent circuit</w:t>
            </w:r>
          </w:p>
        </w:tc>
        <w:tc>
          <w:tcPr/>
          <w:p>
            <w:pPr>
              <w:pStyle w:val="Compact"/>
            </w:pPr>
            <w:r>
              <w:t xml:space="preserve">No scheduled changes; change only if soiled/malfunctioning</w:t>
            </w:r>
          </w:p>
        </w:tc>
        <w:tc>
          <w:tcPr/>
          <w:p>
            <w:pPr>
              <w:pStyle w:val="Compact"/>
            </w:pPr>
            <w:r>
              <w:t xml:space="preserve">Circuit check + condensate drained away from patient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Liberation planning</w:t>
            </w:r>
          </w:p>
        </w:tc>
        <w:tc>
          <w:tcPr/>
          <w:p>
            <w:pPr>
              <w:pStyle w:val="Compact"/>
            </w:pPr>
            <w:r>
              <w:t xml:space="preserve">Daily extubation-readiness statement</w:t>
            </w:r>
          </w:p>
        </w:tc>
        <w:tc>
          <w:tcPr/>
          <w:p>
            <w:pPr>
              <w:pStyle w:val="Compact"/>
            </w:pPr>
            <w:r>
              <w:t xml:space="preserve">Ready/not ready + limiting factor</w:t>
            </w:r>
          </w:p>
        </w:tc>
      </w:tr>
    </w:tbl>
    <w:bookmarkEnd w:id="20"/>
    <w:bookmarkStart w:id="21" w:name="if-a-bundle-element-cannot-be-done"/>
    <w:p>
      <w:pPr>
        <w:pStyle w:val="Heading2"/>
      </w:pPr>
      <w:r>
        <w:t xml:space="preserve">If a Bundle Element Cannot Be Done</w:t>
      </w:r>
    </w:p>
    <w:p>
      <w:pPr>
        <w:pStyle w:val="Compact"/>
        <w:numPr>
          <w:ilvl w:val="0"/>
          <w:numId w:val="1001"/>
        </w:numPr>
      </w:pPr>
      <w:r>
        <w:t xml:space="preserve">HOB contraindicated (e.g., spine/facial trauma): use reverse Trendelenburg and document rationale.</w:t>
      </w:r>
    </w:p>
    <w:p>
      <w:pPr>
        <w:pStyle w:val="Compact"/>
        <w:numPr>
          <w:ilvl w:val="0"/>
          <w:numId w:val="1001"/>
        </w:numPr>
      </w:pPr>
      <w:r>
        <w:t xml:space="preserve">SAT/SBT contraindicated: document specific reason (e.g., active seizures, elevated ICP), then reassess daily.</w:t>
      </w:r>
    </w:p>
    <w:p>
      <w:pPr>
        <w:pStyle w:val="Compact"/>
        <w:numPr>
          <w:ilvl w:val="0"/>
          <w:numId w:val="1001"/>
        </w:numPr>
      </w:pPr>
      <w:r>
        <w:t xml:space="preserve">Mobility limited: perform passive ROM minimum and document barriers.</w:t>
      </w:r>
    </w:p>
    <w:bookmarkEnd w:id="21"/>
    <w:bookmarkStart w:id="22" w:name="additional-approaches-case-selected"/>
    <w:p>
      <w:pPr>
        <w:pStyle w:val="Heading2"/>
      </w:pPr>
      <w:r>
        <w:t xml:space="preserve">Additional Approaches (Case-Selected)</w:t>
      </w:r>
    </w:p>
    <w:p>
      <w:pPr>
        <w:pStyle w:val="Compact"/>
        <w:numPr>
          <w:ilvl w:val="0"/>
          <w:numId w:val="1002"/>
        </w:numPr>
      </w:pPr>
      <w:r>
        <w:t xml:space="preserve">If expected ventilation &gt;48-72h: consider subglottic secretion drainage ETT.</w:t>
      </w:r>
    </w:p>
    <w:p>
      <w:pPr>
        <w:pStyle w:val="Compact"/>
        <w:numPr>
          <w:ilvl w:val="0"/>
          <w:numId w:val="1002"/>
        </w:numPr>
      </w:pPr>
      <w:r>
        <w:t xml:space="preserve">Consider early tracheostomy (&lt;=7 days) for likely prolonged ventilation after multidisciplinary review.</w:t>
      </w:r>
    </w:p>
    <w:p>
      <w:pPr>
        <w:pStyle w:val="Compact"/>
        <w:numPr>
          <w:ilvl w:val="0"/>
          <w:numId w:val="1002"/>
        </w:numPr>
      </w:pPr>
      <w:r>
        <w:t xml:space="preserve">Post-extubation high-risk patients: consider HFNC or NIV to reduce reintubation risk.</w:t>
      </w:r>
    </w:p>
    <w:p>
      <w:pPr>
        <w:pStyle w:val="Compact"/>
        <w:numPr>
          <w:ilvl w:val="0"/>
          <w:numId w:val="1002"/>
        </w:numPr>
      </w:pPr>
      <w:r>
        <w:t xml:space="preserve">High aspiration risk: consider post-pyloric feeds and prokinetics.</w:t>
      </w:r>
    </w:p>
    <w:bookmarkEnd w:id="22"/>
    <w:bookmarkStart w:id="23" w:name="X7345036708a6234390cb8fcf3d03b08b80ff6a1"/>
    <w:p>
      <w:pPr>
        <w:pStyle w:val="Heading2"/>
      </w:pPr>
      <w:r>
        <w:t xml:space="preserve">Practices Not Recommended for Routine VAP Prevention</w:t>
      </w:r>
    </w:p>
    <w:p>
      <w:pPr>
        <w:pStyle w:val="Compact"/>
        <w:numPr>
          <w:ilvl w:val="0"/>
          <w:numId w:val="1003"/>
        </w:numPr>
      </w:pPr>
      <w:r>
        <w:t xml:space="preserve">Routine oral chlorhexidine.</w:t>
      </w:r>
    </w:p>
    <w:p>
      <w:pPr>
        <w:pStyle w:val="Compact"/>
        <w:numPr>
          <w:ilvl w:val="0"/>
          <w:numId w:val="1003"/>
        </w:numPr>
      </w:pPr>
      <w:r>
        <w:t xml:space="preserve">Scheduled ventilator circuit changes.</w:t>
      </w:r>
    </w:p>
    <w:p>
      <w:pPr>
        <w:pStyle w:val="Compact"/>
        <w:numPr>
          <w:ilvl w:val="0"/>
          <w:numId w:val="1003"/>
        </w:numPr>
      </w:pPr>
      <w:r>
        <w:t xml:space="preserve">Probiotics for VAP prevention.</w:t>
      </w:r>
    </w:p>
    <w:p>
      <w:pPr>
        <w:pStyle w:val="Compact"/>
        <w:numPr>
          <w:ilvl w:val="0"/>
          <w:numId w:val="1003"/>
        </w:numPr>
      </w:pPr>
      <w:r>
        <w:t xml:space="preserve">Silver-coated ETT for routine use.</w:t>
      </w:r>
    </w:p>
    <w:p>
      <w:pPr>
        <w:pStyle w:val="Compact"/>
        <w:numPr>
          <w:ilvl w:val="0"/>
          <w:numId w:val="1003"/>
        </w:numPr>
      </w:pPr>
      <w:r>
        <w:t xml:space="preserve">Stress-ulcer prophylaxis solely for VAP prevention (only if GI bleed risk exists).</w:t>
      </w:r>
    </w:p>
    <w:bookmarkEnd w:id="23"/>
    <w:bookmarkStart w:id="27" w:name="traumasicu-special-situations"/>
    <w:p>
      <w:pPr>
        <w:pStyle w:val="Heading2"/>
      </w:pPr>
      <w:r>
        <w:t xml:space="preserve">Trauma/SICU Special Situations</w:t>
      </w:r>
    </w:p>
    <w:bookmarkStart w:id="24" w:name="spine-or-unstable-facial-trauma"/>
    <w:p>
      <w:pPr>
        <w:pStyle w:val="Heading3"/>
      </w:pPr>
      <w:r>
        <w:t xml:space="preserve">Spine or unstable facial trauma</w:t>
      </w:r>
    </w:p>
    <w:p>
      <w:pPr>
        <w:pStyle w:val="Compact"/>
        <w:numPr>
          <w:ilvl w:val="0"/>
          <w:numId w:val="1004"/>
        </w:numPr>
      </w:pPr>
      <w:r>
        <w:t xml:space="preserve">Reverse Trendelenburg if HOB target not possible.</w:t>
      </w:r>
    </w:p>
    <w:p>
      <w:pPr>
        <w:pStyle w:val="Compact"/>
        <w:numPr>
          <w:ilvl w:val="0"/>
          <w:numId w:val="1004"/>
        </w:numPr>
      </w:pPr>
      <w:r>
        <w:t xml:space="preserve">Continue oral care/suctioning regardless of position restrictions.</w:t>
      </w:r>
    </w:p>
    <w:bookmarkEnd w:id="24"/>
    <w:bookmarkStart w:id="25" w:name="severe-tbi"/>
    <w:p>
      <w:pPr>
        <w:pStyle w:val="Heading3"/>
      </w:pPr>
      <w:r>
        <w:t xml:space="preserve">Severe TBI</w:t>
      </w:r>
    </w:p>
    <w:p>
      <w:pPr>
        <w:pStyle w:val="Compact"/>
        <w:numPr>
          <w:ilvl w:val="0"/>
          <w:numId w:val="1005"/>
        </w:numPr>
      </w:pPr>
      <w:r>
        <w:t xml:space="preserve">Keep sedation as light as ICP/neuro status allows.</w:t>
      </w:r>
    </w:p>
    <w:p>
      <w:pPr>
        <w:pStyle w:val="Compact"/>
        <w:numPr>
          <w:ilvl w:val="0"/>
          <w:numId w:val="1005"/>
        </w:numPr>
      </w:pPr>
      <w:r>
        <w:t xml:space="preserve">Continue SAT/SBT when feasible per neuro constraints.</w:t>
      </w:r>
    </w:p>
    <w:p>
      <w:pPr>
        <w:pStyle w:val="Compact"/>
        <w:numPr>
          <w:ilvl w:val="0"/>
          <w:numId w:val="1005"/>
        </w:numPr>
      </w:pPr>
      <w:r>
        <w:t xml:space="preserve">Consider early tracheostomy based on trajectory.</w:t>
      </w:r>
    </w:p>
    <w:bookmarkEnd w:id="25"/>
    <w:bookmarkStart w:id="26" w:name="ards-open-abdomen-or-high-vent-settings"/>
    <w:p>
      <w:pPr>
        <w:pStyle w:val="Heading3"/>
      </w:pPr>
      <w:r>
        <w:t xml:space="preserve">ARDS, open abdomen, or high vent settings</w:t>
      </w:r>
    </w:p>
    <w:p>
      <w:pPr>
        <w:pStyle w:val="Compact"/>
        <w:numPr>
          <w:ilvl w:val="0"/>
          <w:numId w:val="1006"/>
        </w:numPr>
      </w:pPr>
      <w:r>
        <w:t xml:space="preserve">Continue oral care bundle.</w:t>
      </w:r>
    </w:p>
    <w:p>
      <w:pPr>
        <w:pStyle w:val="Compact"/>
        <w:numPr>
          <w:ilvl w:val="0"/>
          <w:numId w:val="1006"/>
        </w:numPr>
      </w:pPr>
      <w:r>
        <w:t xml:space="preserve">Continue SAT/SBT when feasible.</w:t>
      </w:r>
    </w:p>
    <w:p>
      <w:pPr>
        <w:pStyle w:val="Compact"/>
        <w:numPr>
          <w:ilvl w:val="0"/>
          <w:numId w:val="1006"/>
        </w:numPr>
      </w:pPr>
      <w:r>
        <w:t xml:space="preserve">Emphasize lung-protective ventilation and fluid strategy.</w:t>
      </w:r>
    </w:p>
    <w:bookmarkEnd w:id="26"/>
    <w:bookmarkEnd w:id="27"/>
    <w:bookmarkStart w:id="28" w:name="daily-rounds-checklist"/>
    <w:p>
      <w:pPr>
        <w:pStyle w:val="Heading2"/>
      </w:pPr>
      <w:r>
        <w:t xml:space="preserve">Daily Rounds Checklist</w:t>
      </w:r>
    </w:p>
    <w:p>
      <w:pPr>
        <w:pStyle w:val="Compact"/>
        <w:numPr>
          <w:ilvl w:val="0"/>
          <w:numId w:val="1007"/>
        </w:numPr>
      </w:pPr>
      <w:r>
        <w:t xml:space="preserve">HOB 30-45 degrees or documented exception</w:t>
      </w:r>
    </w:p>
    <w:p>
      <w:pPr>
        <w:pStyle w:val="Compact"/>
        <w:numPr>
          <w:ilvl w:val="0"/>
          <w:numId w:val="1008"/>
        </w:numPr>
      </w:pPr>
      <w:r>
        <w:t xml:space="preserve">RASS target documented; sedation strategy reviewed</w:t>
      </w:r>
    </w:p>
    <w:p>
      <w:pPr>
        <w:pStyle w:val="Compact"/>
        <w:numPr>
          <w:ilvl w:val="0"/>
          <w:numId w:val="1009"/>
        </w:numPr>
      </w:pPr>
      <w:r>
        <w:t xml:space="preserve">SAT outcome documented</w:t>
      </w:r>
    </w:p>
    <w:p>
      <w:pPr>
        <w:pStyle w:val="Compact"/>
        <w:numPr>
          <w:ilvl w:val="0"/>
          <w:numId w:val="1010"/>
        </w:numPr>
      </w:pPr>
      <w:r>
        <w:t xml:space="preserve">SBT outcome documented + extubation readiness plan</w:t>
      </w:r>
    </w:p>
    <w:p>
      <w:pPr>
        <w:pStyle w:val="Compact"/>
        <w:numPr>
          <w:ilvl w:val="0"/>
          <w:numId w:val="1011"/>
        </w:numPr>
      </w:pPr>
      <w:r>
        <w:t xml:space="preserve">Oral care documented (q12h brush, q4h suction)</w:t>
      </w:r>
    </w:p>
    <w:p>
      <w:pPr>
        <w:pStyle w:val="Compact"/>
        <w:numPr>
          <w:ilvl w:val="0"/>
          <w:numId w:val="1012"/>
        </w:numPr>
      </w:pPr>
      <w:r>
        <w:t xml:space="preserve">Mobility level/barriers documented</w:t>
      </w:r>
    </w:p>
    <w:p>
      <w:pPr>
        <w:pStyle w:val="Compact"/>
        <w:numPr>
          <w:ilvl w:val="0"/>
          <w:numId w:val="1013"/>
        </w:numPr>
      </w:pPr>
      <w:r>
        <w:t xml:space="preserve">Enteral nutrition route/status documented</w:t>
      </w:r>
    </w:p>
    <w:p>
      <w:pPr>
        <w:pStyle w:val="Compact"/>
        <w:numPr>
          <w:ilvl w:val="0"/>
          <w:numId w:val="1014"/>
        </w:numPr>
      </w:pPr>
      <w:r>
        <w:t xml:space="preserve">Vent circuit/condensate check completed</w:t>
      </w:r>
    </w:p>
    <w:p>
      <w:pPr>
        <w:pStyle w:val="Compact"/>
        <w:numPr>
          <w:ilvl w:val="0"/>
          <w:numId w:val="1015"/>
        </w:numPr>
      </w:pPr>
      <w:r>
        <w:t xml:space="preserve">DVT prophylaxis status documented</w:t>
      </w:r>
    </w:p>
    <w:p>
      <w:pPr>
        <w:pStyle w:val="Compact"/>
        <w:numPr>
          <w:ilvl w:val="0"/>
          <w:numId w:val="1016"/>
        </w:numPr>
      </w:pPr>
      <w:r>
        <w:t xml:space="preserve">Stress-ulcer prophylaxis indication reviewed</w:t>
      </w:r>
    </w:p>
    <w:bookmarkEnd w:id="28"/>
    <w:bookmarkStart w:id="29" w:name="hard-stops"/>
    <w:p>
      <w:pPr>
        <w:pStyle w:val="Heading2"/>
      </w:pPr>
      <w:r>
        <w:t xml:space="preserve">Hard Stops</w:t>
      </w:r>
    </w:p>
    <w:p>
      <w:pPr>
        <w:pStyle w:val="Compact"/>
        <w:numPr>
          <w:ilvl w:val="0"/>
          <w:numId w:val="1017"/>
        </w:numPr>
      </w:pPr>
      <w:r>
        <w:t xml:space="preserve">Do not skip SAT/SBT without explicit contraindication.</w:t>
      </w:r>
    </w:p>
    <w:p>
      <w:pPr>
        <w:pStyle w:val="Compact"/>
        <w:numPr>
          <w:ilvl w:val="0"/>
          <w:numId w:val="1017"/>
        </w:numPr>
      </w:pPr>
      <w:r>
        <w:t xml:space="preserve">Do not document bundle completion without matching bedside execution.</w:t>
      </w:r>
    </w:p>
    <w:p>
      <w:pPr>
        <w:pStyle w:val="Compact"/>
        <w:numPr>
          <w:ilvl w:val="0"/>
          <w:numId w:val="1017"/>
        </w:numPr>
      </w:pPr>
      <w:r>
        <w:t xml:space="preserve">Do not use chlorhexidine rinse as routine VAP prevention.</w:t>
      </w:r>
    </w:p>
    <w:p>
      <w:pPr>
        <w:pStyle w:val="Compact"/>
        <w:numPr>
          <w:ilvl w:val="0"/>
          <w:numId w:val="1017"/>
        </w:numPr>
      </w:pPr>
      <w:r>
        <w:t xml:space="preserve">Do not perform scheduled circuit changes.</w:t>
      </w:r>
    </w:p>
    <w:bookmarkEnd w:id="29"/>
    <w:bookmarkStart w:id="32" w:name="unit-targets-pips"/>
    <w:p>
      <w:pPr>
        <w:pStyle w:val="Heading2"/>
      </w:pPr>
      <w:r>
        <w:t xml:space="preserve">Unit Targets (PIPS)</w:t>
      </w:r>
    </w:p>
    <w:bookmarkStart w:id="30" w:name="outcome-tracking"/>
    <w:p>
      <w:pPr>
        <w:pStyle w:val="Heading3"/>
      </w:pPr>
      <w:r>
        <w:t xml:space="preserve">Outcome tracking</w:t>
      </w:r>
    </w:p>
    <w:p>
      <w:pPr>
        <w:pStyle w:val="Compact"/>
        <w:numPr>
          <w:ilvl w:val="0"/>
          <w:numId w:val="1018"/>
        </w:numPr>
      </w:pPr>
      <w:r>
        <w:t xml:space="preserve">VAE (VAC/IVAC/PVAP) rate per 1,000 ventilator-days.</w:t>
      </w:r>
    </w:p>
    <w:p>
      <w:pPr>
        <w:pStyle w:val="Compact"/>
        <w:numPr>
          <w:ilvl w:val="0"/>
          <w:numId w:val="1018"/>
        </w:numPr>
      </w:pPr>
      <w:r>
        <w:t xml:space="preserve">Ventilator days.</w:t>
      </w:r>
    </w:p>
    <w:p>
      <w:pPr>
        <w:pStyle w:val="Compact"/>
        <w:numPr>
          <w:ilvl w:val="0"/>
          <w:numId w:val="1018"/>
        </w:numPr>
      </w:pPr>
      <w:r>
        <w:t xml:space="preserve">Reintubation within 48-72h.</w:t>
      </w:r>
    </w:p>
    <w:bookmarkEnd w:id="30"/>
    <w:bookmarkStart w:id="31" w:name="process-reliability-target-90"/>
    <w:p>
      <w:pPr>
        <w:pStyle w:val="Heading3"/>
      </w:pPr>
      <w:r>
        <w:t xml:space="preserve">Process reliability (target &gt;=90%)</w:t>
      </w:r>
    </w:p>
    <w:p>
      <w:pPr>
        <w:pStyle w:val="Compact"/>
        <w:numPr>
          <w:ilvl w:val="0"/>
          <w:numId w:val="1019"/>
        </w:numPr>
      </w:pPr>
      <w:r>
        <w:t xml:space="preserve">HOB compliance (or valid exception).</w:t>
      </w:r>
    </w:p>
    <w:p>
      <w:pPr>
        <w:pStyle w:val="Compact"/>
        <w:numPr>
          <w:ilvl w:val="0"/>
          <w:numId w:val="1019"/>
        </w:numPr>
      </w:pPr>
      <w:r>
        <w:t xml:space="preserve">Daily SAT compliance.</w:t>
      </w:r>
    </w:p>
    <w:p>
      <w:pPr>
        <w:pStyle w:val="Compact"/>
        <w:numPr>
          <w:ilvl w:val="0"/>
          <w:numId w:val="1019"/>
        </w:numPr>
      </w:pPr>
      <w:r>
        <w:t xml:space="preserve">Daily SBT compliance.</w:t>
      </w:r>
    </w:p>
    <w:p>
      <w:pPr>
        <w:pStyle w:val="Compact"/>
        <w:numPr>
          <w:ilvl w:val="0"/>
          <w:numId w:val="1019"/>
        </w:numPr>
      </w:pPr>
      <w:r>
        <w:t xml:space="preserve">Oral care compliance.</w:t>
      </w:r>
    </w:p>
    <w:p>
      <w:pPr>
        <w:pStyle w:val="Compact"/>
        <w:numPr>
          <w:ilvl w:val="0"/>
          <w:numId w:val="1019"/>
        </w:numPr>
      </w:pPr>
      <w:r>
        <w:t xml:space="preserve">Mobility documentation compliance.</w:t>
      </w:r>
    </w:p>
    <w:p>
      <w:pPr>
        <w:pStyle w:val="Compact"/>
        <w:numPr>
          <w:ilvl w:val="0"/>
          <w:numId w:val="1019"/>
        </w:numPr>
      </w:pPr>
      <w:r>
        <w:t xml:space="preserve">Enteral nutrition initiation within 24-48h.</w:t>
      </w:r>
    </w:p>
    <w:bookmarkEnd w:id="31"/>
    <w:bookmarkEnd w:id="32"/>
    <w:bookmarkStart w:id="33" w:name="source-basis"/>
    <w:p>
      <w:pPr>
        <w:pStyle w:val="Heading2"/>
      </w:pPr>
      <w:r>
        <w:t xml:space="preserve">Source Basis</w:t>
      </w:r>
    </w:p>
    <w:p>
      <w:pPr>
        <w:pStyle w:val="FirstParagraph"/>
      </w:pPr>
      <w:r>
        <w:t xml:space="preserve">Condensed from active internal VAP bundle + VAP/VAE prevention guideline (effective November 2025).</w:t>
      </w:r>
    </w:p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2026-02-26T19:19:40Z</dcterms:created>
  <dcterms:modified xsi:type="dcterms:W3CDTF">2026-02-26T19:19:40Z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