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vte-prophylaxis-resident-quick-guide"/>
    <w:p>
      <w:pPr>
        <w:pStyle w:val="Heading1"/>
      </w:pPr>
      <w:r>
        <w:t xml:space="preserve">VTE Prophylaxis Resident Quick Guide</w:t>
      </w:r>
    </w:p>
    <w:p>
      <w:pPr>
        <w:pStyle w:val="FirstParagraph"/>
      </w:pPr>
      <w:r>
        <w:rPr>
          <w:b/>
          <w:bCs/>
        </w:rPr>
        <w:t xml:space="preserve">Scope:</w:t>
      </w:r>
      <w:r>
        <w:t xml:space="preserve"> </w:t>
      </w:r>
      <w:r>
        <w:t xml:space="preserve">Adult trauma/orthopedic admissions (&gt;=15 years).</w:t>
      </w:r>
      <w:r>
        <w:t xml:space="preserve"> </w:t>
      </w:r>
      <w:r>
        <w:rPr>
          <w:b/>
          <w:bCs/>
        </w:rPr>
        <w:t xml:space="preserve">Operational aim:</w:t>
      </w:r>
      <w:r>
        <w:t xml:space="preserve"> </w:t>
      </w:r>
      <w:r>
        <w:t xml:space="preserve">start mechanical + chemoprophylaxis early once hemostasis is secure.</w:t>
      </w:r>
    </w:p>
    <w:bookmarkStart w:id="20" w:name="immediate-admission-actions"/>
    <w:p>
      <w:pPr>
        <w:pStyle w:val="Heading2"/>
      </w:pPr>
      <w:r>
        <w:t xml:space="preserve">Immediate Admission Actions</w:t>
      </w:r>
    </w:p>
    <w:p>
      <w:pPr>
        <w:pStyle w:val="Compact"/>
        <w:numPr>
          <w:ilvl w:val="0"/>
          <w:numId w:val="1001"/>
        </w:numPr>
      </w:pPr>
      <w:r>
        <w:t xml:space="preserve">Apply mechanical prophylaxis (SCDs) unless contraindicated.</w:t>
      </w:r>
    </w:p>
    <w:p>
      <w:pPr>
        <w:pStyle w:val="Compact"/>
        <w:numPr>
          <w:ilvl w:val="0"/>
          <w:numId w:val="1001"/>
        </w:numPr>
      </w:pPr>
      <w:r>
        <w:t xml:space="preserve">Use standard administration windows:</w:t>
      </w:r>
    </w:p>
    <w:p>
      <w:pPr>
        <w:pStyle w:val="Compact"/>
        <w:numPr>
          <w:ilvl w:val="1"/>
          <w:numId w:val="1002"/>
        </w:numPr>
      </w:pPr>
      <w:r>
        <w:t xml:space="preserve">Enoxaparin at 09:00 and 21:00.</w:t>
      </w:r>
    </w:p>
    <w:p>
      <w:pPr>
        <w:pStyle w:val="Compact"/>
        <w:numPr>
          <w:ilvl w:val="1"/>
          <w:numId w:val="1002"/>
        </w:numPr>
      </w:pPr>
      <w:r>
        <w:t xml:space="preserve">UFH at 06:00, 14:00, and 22:00.</w:t>
      </w:r>
    </w:p>
    <w:p>
      <w:pPr>
        <w:pStyle w:val="Compact"/>
        <w:numPr>
          <w:ilvl w:val="0"/>
          <w:numId w:val="1001"/>
        </w:numPr>
      </w:pPr>
      <w:r>
        <w:t xml:space="preserve">Start chemoprophylaxis once hemostasis is secure (goal &lt;=24-48h in most patients).</w:t>
      </w:r>
    </w:p>
    <w:p>
      <w:pPr>
        <w:pStyle w:val="Compact"/>
        <w:numPr>
          <w:ilvl w:val="0"/>
          <w:numId w:val="1001"/>
        </w:numPr>
      </w:pPr>
      <w:r>
        <w:t xml:space="preserve">Reassess holds daily; avoid unexamined prolonged holds.</w:t>
      </w:r>
    </w:p>
    <w:bookmarkEnd w:id="20"/>
    <w:bookmarkStart w:id="21" w:name="first-line-strategy"/>
    <w:p>
      <w:pPr>
        <w:pStyle w:val="Heading2"/>
      </w:pPr>
      <w:r>
        <w:t xml:space="preserve">First-Line Strategy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LMWH (enoxaparin) weight-based</w:t>
      </w:r>
      <w:r>
        <w:t xml:space="preserve"> </w:t>
      </w:r>
      <w:r>
        <w:t xml:space="preserve">is default.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UFH</w:t>
      </w:r>
      <w:r>
        <w:t xml:space="preserve"> </w:t>
      </w:r>
      <w:r>
        <w:t xml:space="preserve">if severe renal dysfunction or specific contraindication to LMWH.</w:t>
      </w:r>
    </w:p>
    <w:bookmarkEnd w:id="21"/>
    <w:bookmarkStart w:id="23" w:name="weight-based-dosing-current-protocol"/>
    <w:p>
      <w:pPr>
        <w:pStyle w:val="Heading2"/>
      </w:pPr>
      <w:r>
        <w:t xml:space="preserve">Weight-Based Dosing (Current Protocol)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Weight (kg)</w:t>
            </w:r>
          </w:p>
        </w:tc>
        <w:tc>
          <w:tcPr/>
          <w:p>
            <w:pPr>
              <w:pStyle w:val="Compact"/>
            </w:pPr>
            <w:r>
              <w:t xml:space="preserve">Standard Dose</w:t>
            </w:r>
          </w:p>
        </w:tc>
        <w:tc>
          <w:tcPr/>
          <w:p>
            <w:pPr>
              <w:pStyle w:val="Compact"/>
            </w:pPr>
            <w:r>
              <w:t xml:space="preserve">High-Risk TBI/SCI First 72h*</w:t>
            </w:r>
          </w:p>
        </w:tc>
        <w:tc>
          <w:tcPr/>
          <w:p>
            <w:pPr>
              <w:pStyle w:val="Compact"/>
            </w:pPr>
            <w:r>
              <w:t xml:space="preserve">Renal (CrCl &lt;30)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&lt;50</w:t>
            </w:r>
          </w:p>
        </w:tc>
        <w:tc>
          <w:tcPr/>
          <w:p>
            <w:pPr>
              <w:pStyle w:val="Compact"/>
            </w:pPr>
            <w:r>
              <w:t xml:space="preserve">Enoxaparin 30 mg q12h</w:t>
            </w:r>
          </w:p>
        </w:tc>
        <w:tc>
          <w:tcPr/>
          <w:p>
            <w:pPr>
              <w:pStyle w:val="Compact"/>
            </w:pPr>
            <w:r>
              <w:t xml:space="preserve">Enoxaparin 30 mg daily</w:t>
            </w:r>
          </w:p>
        </w:tc>
        <w:tc>
          <w:tcPr/>
          <w:p>
            <w:pPr>
              <w:pStyle w:val="Compact"/>
            </w:pPr>
            <w:r>
              <w:t xml:space="preserve">UFH 5,000 U q8h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50-75</w:t>
            </w:r>
          </w:p>
        </w:tc>
        <w:tc>
          <w:tcPr/>
          <w:p>
            <w:pPr>
              <w:pStyle w:val="Compact"/>
            </w:pPr>
            <w:r>
              <w:t xml:space="preserve">Enoxaparin 30 mg q12h</w:t>
            </w:r>
          </w:p>
        </w:tc>
        <w:tc>
          <w:tcPr/>
          <w:p>
            <w:pPr>
              <w:pStyle w:val="Compact"/>
            </w:pPr>
            <w:r>
              <w:t xml:space="preserve">Enoxaparin 30 mg q12h</w:t>
            </w:r>
          </w:p>
        </w:tc>
        <w:tc>
          <w:tcPr/>
          <w:p>
            <w:pPr>
              <w:pStyle w:val="Compact"/>
            </w:pPr>
            <w:r>
              <w:t xml:space="preserve">UFH 5,000 U q8h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76-100</w:t>
            </w:r>
          </w:p>
        </w:tc>
        <w:tc>
          <w:tcPr/>
          <w:p>
            <w:pPr>
              <w:pStyle w:val="Compact"/>
            </w:pPr>
            <w:r>
              <w:t xml:space="preserve">Enoxaparin 40 mg q12h</w:t>
            </w:r>
          </w:p>
        </w:tc>
        <w:tc>
          <w:tcPr/>
          <w:p>
            <w:pPr>
              <w:pStyle w:val="Compact"/>
            </w:pPr>
            <w:r>
              <w:t xml:space="preserve">Enoxaparin 30 mg q12h</w:t>
            </w:r>
          </w:p>
        </w:tc>
        <w:tc>
          <w:tcPr/>
          <w:p>
            <w:pPr>
              <w:pStyle w:val="Compact"/>
            </w:pPr>
            <w:r>
              <w:t xml:space="preserve">LMWH 30 mg daily + anti-Xa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101-130</w:t>
            </w:r>
          </w:p>
        </w:tc>
        <w:tc>
          <w:tcPr/>
          <w:p>
            <w:pPr>
              <w:pStyle w:val="Compact"/>
            </w:pPr>
            <w:r>
              <w:t xml:space="preserve">Enoxaparin 50 mg q12h</w:t>
            </w:r>
          </w:p>
        </w:tc>
        <w:tc>
          <w:tcPr/>
          <w:p>
            <w:pPr>
              <w:pStyle w:val="Compact"/>
            </w:pPr>
            <w:r>
              <w:t xml:space="preserve">Enoxaparin 40 mg q12h</w:t>
            </w:r>
          </w:p>
        </w:tc>
        <w:tc>
          <w:tcPr/>
          <w:p>
            <w:pPr>
              <w:pStyle w:val="Compact"/>
            </w:pPr>
            <w:r>
              <w:t xml:space="preserve">LMWH 30 mg daily + anti-Xa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131-160</w:t>
            </w:r>
          </w:p>
        </w:tc>
        <w:tc>
          <w:tcPr/>
          <w:p>
            <w:pPr>
              <w:pStyle w:val="Compact"/>
            </w:pPr>
            <w:r>
              <w:t xml:space="preserve">Enoxaparin 60 mg q12h</w:t>
            </w:r>
          </w:p>
        </w:tc>
        <w:tc>
          <w:tcPr/>
          <w:p>
            <w:pPr>
              <w:pStyle w:val="Compact"/>
            </w:pPr>
            <w:r>
              <w:t xml:space="preserve">Enoxaparin 50 mg q12h</w:t>
            </w:r>
          </w:p>
        </w:tc>
        <w:tc>
          <w:tcPr/>
          <w:p>
            <w:pPr>
              <w:pStyle w:val="Compact"/>
            </w:pPr>
            <w:r>
              <w:t xml:space="preserve">Pharmacy consult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&gt;=161</w:t>
            </w:r>
          </w:p>
        </w:tc>
        <w:tc>
          <w:tcPr/>
          <w:p>
            <w:pPr>
              <w:pStyle w:val="Compact"/>
            </w:pPr>
            <w:r>
              <w:t xml:space="preserve">Enoxaparin 0.5 mg/kg q12h (max 80 mg)</w:t>
            </w:r>
          </w:p>
        </w:tc>
        <w:tc>
          <w:tcPr/>
          <w:p>
            <w:pPr>
              <w:pStyle w:val="Compact"/>
            </w:pPr>
            <w:r>
              <w:t xml:space="preserve">0.5 mg/kg q12h (max 60 mg)</w:t>
            </w:r>
          </w:p>
        </w:tc>
        <w:tc>
          <w:tcPr/>
          <w:p>
            <w:pPr>
              <w:pStyle w:val="Compact"/>
            </w:pPr>
            <w:r>
              <w:t xml:space="preserve">Pharmacy consult</w:t>
            </w:r>
          </w:p>
        </w:tc>
      </w:tr>
    </w:tbl>
    <w:p>
      <w:pPr>
        <w:pStyle w:val="BodyText"/>
      </w:pPr>
      <w:r>
        <w:t xml:space="preserve">*High-risk reduction applies to BIG 3 TBI, post-craniotomy, or complete SCI (AIS A) during first 72 hours.</w:t>
      </w:r>
    </w:p>
    <w:bookmarkStart w:id="22" w:name="exceptions"/>
    <w:p>
      <w:pPr>
        <w:pStyle w:val="Heading3"/>
      </w:pPr>
      <w:r>
        <w:t xml:space="preserve">Exceptions</w:t>
      </w:r>
    </w:p>
    <w:p>
      <w:pPr>
        <w:pStyle w:val="Compact"/>
        <w:numPr>
          <w:ilvl w:val="0"/>
          <w:numId w:val="1004"/>
        </w:numPr>
      </w:pPr>
      <w:r>
        <w:t xml:space="preserve">Age &gt;65 or weight &lt;50 kg: start 30 mg q12h.</w:t>
      </w:r>
    </w:p>
    <w:p>
      <w:pPr>
        <w:pStyle w:val="Compact"/>
        <w:numPr>
          <w:ilvl w:val="0"/>
          <w:numId w:val="1004"/>
        </w:numPr>
      </w:pPr>
      <w:r>
        <w:t xml:space="preserve">CrCl 15-29: LMWH 30 mg daily with anti-Xa preferred over UFH.</w:t>
      </w:r>
    </w:p>
    <w:bookmarkEnd w:id="22"/>
    <w:bookmarkEnd w:id="23"/>
    <w:bookmarkStart w:id="24" w:name="X234cbae82c17c041ec87c347dcde4f4ca90d03c"/>
    <w:p>
      <w:pPr>
        <w:pStyle w:val="Heading2"/>
      </w:pPr>
      <w:r>
        <w:t xml:space="preserve">Timing by Injury (Use Most Conservative If Multiple Injuries)</w:t>
      </w:r>
    </w:p>
    <w:p>
      <w:pPr>
        <w:pStyle w:val="Compact"/>
        <w:numPr>
          <w:ilvl w:val="0"/>
          <w:numId w:val="1005"/>
        </w:numPr>
      </w:pPr>
      <w:r>
        <w:t xml:space="preserve">Pelvic/long-bone fracture post-op: &lt;=24h post-op.</w:t>
      </w:r>
    </w:p>
    <w:p>
      <w:pPr>
        <w:pStyle w:val="Compact"/>
        <w:numPr>
          <w:ilvl w:val="0"/>
          <w:numId w:val="1005"/>
        </w:numPr>
      </w:pPr>
      <w:r>
        <w:t xml:space="preserve">Hip fracture operative: 6-12h post-op.</w:t>
      </w:r>
    </w:p>
    <w:p>
      <w:pPr>
        <w:pStyle w:val="Compact"/>
        <w:numPr>
          <w:ilvl w:val="0"/>
          <w:numId w:val="1005"/>
        </w:numPr>
      </w:pPr>
      <w:r>
        <w:t xml:space="preserve">Spine surgery instrumented: 24-48h post-op.</w:t>
      </w:r>
    </w:p>
    <w:p>
      <w:pPr>
        <w:pStyle w:val="Compact"/>
        <w:numPr>
          <w:ilvl w:val="0"/>
          <w:numId w:val="1005"/>
        </w:numPr>
      </w:pPr>
      <w:r>
        <w:t xml:space="preserve">Spine fracture non-op stable: 24-48h.</w:t>
      </w:r>
    </w:p>
    <w:p>
      <w:pPr>
        <w:pStyle w:val="Compact"/>
        <w:numPr>
          <w:ilvl w:val="0"/>
          <w:numId w:val="1005"/>
        </w:numPr>
      </w:pPr>
      <w:r>
        <w:t xml:space="preserve">SCI (with or without surgery): &lt;=48h.</w:t>
      </w:r>
    </w:p>
    <w:p>
      <w:pPr>
        <w:pStyle w:val="Compact"/>
        <w:numPr>
          <w:ilvl w:val="0"/>
          <w:numId w:val="1005"/>
        </w:numPr>
      </w:pPr>
      <w:r>
        <w:t xml:space="preserve">TBI BIG 1-2 (stable): &lt;=24h.</w:t>
      </w:r>
    </w:p>
    <w:p>
      <w:pPr>
        <w:pStyle w:val="Compact"/>
        <w:numPr>
          <w:ilvl w:val="0"/>
          <w:numId w:val="1005"/>
        </w:numPr>
      </w:pPr>
      <w:r>
        <w:t xml:space="preserve">TBI BIG 3/post-craniotomy: 24-72h after stable CT.</w:t>
      </w:r>
    </w:p>
    <w:p>
      <w:pPr>
        <w:pStyle w:val="Compact"/>
        <w:numPr>
          <w:ilvl w:val="0"/>
          <w:numId w:val="1005"/>
        </w:numPr>
      </w:pPr>
      <w:r>
        <w:t xml:space="preserve">Solid organ NOM grade I-III: &lt;=24h.</w:t>
      </w:r>
    </w:p>
    <w:p>
      <w:pPr>
        <w:pStyle w:val="Compact"/>
        <w:numPr>
          <w:ilvl w:val="0"/>
          <w:numId w:val="1005"/>
        </w:numPr>
      </w:pPr>
      <w:r>
        <w:t xml:space="preserve">Solid organ NOM grade IV-V: &lt;=48h once hemostasis confirmed.</w:t>
      </w:r>
    </w:p>
    <w:p>
      <w:pPr>
        <w:pStyle w:val="Compact"/>
        <w:numPr>
          <w:ilvl w:val="0"/>
          <w:numId w:val="1005"/>
        </w:numPr>
      </w:pPr>
      <w:r>
        <w:t xml:space="preserve">Post-SAE/AE: approximately 48h.</w:t>
      </w:r>
    </w:p>
    <w:p>
      <w:pPr>
        <w:pStyle w:val="FirstParagraph"/>
      </w:pPr>
      <w:r>
        <w:rPr>
          <w:b/>
          <w:bCs/>
        </w:rPr>
        <w:t xml:space="preserve">Polytrauma rule:</w:t>
      </w:r>
      <w:r>
        <w:t xml:space="preserve"> </w:t>
      </w:r>
      <w:r>
        <w:t xml:space="preserve">use latest needed timing among injury patterns, but do not extend beyond 48h without explicit bleeding-risk rationale and attending-level documentation.</w:t>
      </w:r>
    </w:p>
    <w:bookmarkEnd w:id="24"/>
    <w:bookmarkStart w:id="25" w:name="anti-xa-monitoring"/>
    <w:p>
      <w:pPr>
        <w:pStyle w:val="Heading2"/>
      </w:pPr>
      <w:r>
        <w:t xml:space="preserve">Anti-Xa Monitoring</w:t>
      </w:r>
    </w:p>
    <w:p>
      <w:pPr>
        <w:pStyle w:val="FirstParagraph"/>
      </w:pPr>
      <w:r>
        <w:t xml:space="preserve">Not routine for all patients. Check peak anti-Xa (4h after 3rd dose) for:</w:t>
      </w:r>
    </w:p>
    <w:p>
      <w:pPr>
        <w:pStyle w:val="Compact"/>
        <w:numPr>
          <w:ilvl w:val="0"/>
          <w:numId w:val="1006"/>
        </w:numPr>
      </w:pPr>
      <w:r>
        <w:t xml:space="preserve">BMI &gt;=40 or weight &gt;100 kg (mandatory if &gt;130 kg).</w:t>
      </w:r>
    </w:p>
    <w:p>
      <w:pPr>
        <w:pStyle w:val="Compact"/>
        <w:numPr>
          <w:ilvl w:val="0"/>
          <w:numId w:val="1006"/>
        </w:numPr>
      </w:pPr>
      <w:r>
        <w:t xml:space="preserve">ICU patients with multiple VTE risk factors.</w:t>
      </w:r>
    </w:p>
    <w:p>
      <w:pPr>
        <w:pStyle w:val="Compact"/>
        <w:numPr>
          <w:ilvl w:val="0"/>
          <w:numId w:val="1006"/>
        </w:numPr>
      </w:pPr>
      <w:r>
        <w:t xml:space="preserve">CrCl 15-29 on LMWH.</w:t>
      </w:r>
    </w:p>
    <w:p>
      <w:pPr>
        <w:pStyle w:val="Compact"/>
        <w:numPr>
          <w:ilvl w:val="0"/>
          <w:numId w:val="1006"/>
        </w:numPr>
      </w:pPr>
      <w:r>
        <w:t xml:space="preserve">TBI/SCI reduced-dose pathway.</w:t>
      </w:r>
    </w:p>
    <w:p>
      <w:pPr>
        <w:pStyle w:val="FirstParagraph"/>
      </w:pPr>
      <w:r>
        <w:t xml:space="preserve">Target: 0.2-0.4 IU/mL.</w:t>
      </w:r>
      <w:r>
        <w:t xml:space="preserve"> </w:t>
      </w:r>
      <w:r>
        <w:t xml:space="preserve">If &lt;0.2, increase LMWH by 10 mg and recheck.</w:t>
      </w:r>
    </w:p>
    <w:bookmarkEnd w:id="25"/>
    <w:bookmarkStart w:id="26" w:name="peri-neuraxial-csf-drain-practical-rules"/>
    <w:p>
      <w:pPr>
        <w:pStyle w:val="Heading2"/>
      </w:pPr>
      <w:r>
        <w:t xml:space="preserve">Peri-Neuraxial / CSF Drain Practical Rules</w:t>
      </w:r>
    </w:p>
    <w:p>
      <w:pPr>
        <w:pStyle w:val="Compact"/>
        <w:numPr>
          <w:ilvl w:val="0"/>
          <w:numId w:val="1007"/>
        </w:numPr>
      </w:pPr>
      <w:r>
        <w:t xml:space="preserve">Hold LMWH &gt;=12h before neuraxial placement.</w:t>
      </w:r>
    </w:p>
    <w:p>
      <w:pPr>
        <w:pStyle w:val="Compact"/>
        <w:numPr>
          <w:ilvl w:val="0"/>
          <w:numId w:val="1007"/>
        </w:numPr>
      </w:pPr>
      <w:r>
        <w:t xml:space="preserve">Avoid LMWH while neuraxial catheter is indwelling.</w:t>
      </w:r>
    </w:p>
    <w:p>
      <w:pPr>
        <w:pStyle w:val="Compact"/>
        <w:numPr>
          <w:ilvl w:val="0"/>
          <w:numId w:val="1007"/>
        </w:numPr>
      </w:pPr>
      <w:r>
        <w:t xml:space="preserve">Restart LMWH &gt;=4h after catheter removal.</w:t>
      </w:r>
    </w:p>
    <w:p>
      <w:pPr>
        <w:pStyle w:val="Compact"/>
        <w:numPr>
          <w:ilvl w:val="0"/>
          <w:numId w:val="1007"/>
        </w:numPr>
      </w:pPr>
      <w:r>
        <w:t xml:space="preserve">Bridge with UFH + SCDs while catheter remains in place.</w:t>
      </w:r>
    </w:p>
    <w:p>
      <w:pPr>
        <w:pStyle w:val="Compact"/>
        <w:numPr>
          <w:ilvl w:val="0"/>
          <w:numId w:val="1007"/>
        </w:numPr>
      </w:pPr>
      <w:r>
        <w:t xml:space="preserve">If EVD/ICP drain present, UFH-first strategy is preferred.</w:t>
      </w:r>
    </w:p>
    <w:bookmarkEnd w:id="26"/>
    <w:bookmarkStart w:id="27" w:name="discharge-planning"/>
    <w:p>
      <w:pPr>
        <w:pStyle w:val="Heading2"/>
      </w:pPr>
      <w:r>
        <w:t xml:space="preserve">Discharge Planning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 Category</w:t>
            </w:r>
          </w:p>
        </w:tc>
        <w:tc>
          <w:tcPr/>
          <w:p>
            <w:pPr>
              <w:pStyle w:val="Compact"/>
            </w:pPr>
            <w:r>
              <w:t xml:space="preserve">Typical Duration</w:t>
            </w:r>
          </w:p>
        </w:tc>
        <w:tc>
          <w:tcPr/>
          <w:p>
            <w:pPr>
              <w:pStyle w:val="Compact"/>
            </w:pPr>
            <w:r>
              <w:t xml:space="preserve">Preferred Agent</w:t>
            </w:r>
          </w:p>
        </w:tc>
        <w:tc>
          <w:tcPr/>
          <w:p>
            <w:pPr>
              <w:pStyle w:val="Compact"/>
            </w:pPr>
            <w:r>
              <w:t xml:space="preserve">Alternative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High-risk trauma</w:t>
            </w:r>
          </w:p>
        </w:tc>
        <w:tc>
          <w:tcPr/>
          <w:p>
            <w:pPr>
              <w:pStyle w:val="Compact"/>
            </w:pPr>
            <w:r>
              <w:t xml:space="preserve">Up to 4 weeks</w:t>
            </w:r>
          </w:p>
        </w:tc>
        <w:tc>
          <w:tcPr/>
          <w:p>
            <w:pPr>
              <w:pStyle w:val="Compact"/>
            </w:pPr>
            <w:r>
              <w:t xml:space="preserve">LMWH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Major ortho/hip fracture</w:t>
            </w:r>
          </w:p>
        </w:tc>
        <w:tc>
          <w:tcPr/>
          <w:p>
            <w:pPr>
              <w:pStyle w:val="Compact"/>
            </w:pPr>
            <w:r>
              <w:t xml:space="preserve">28-35 days</w:t>
            </w:r>
          </w:p>
        </w:tc>
        <w:tc>
          <w:tcPr/>
          <w:p>
            <w:pPr>
              <w:pStyle w:val="Compact"/>
            </w:pPr>
            <w:r>
              <w:t xml:space="preserve">LMWH</w:t>
            </w:r>
          </w:p>
        </w:tc>
        <w:tc>
          <w:tcPr/>
          <w:p>
            <w:pPr>
              <w:pStyle w:val="Compact"/>
            </w:pPr>
            <w:r>
              <w:t xml:space="preserve">DOAC or aspirin if isolated injury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SCI/immobility</w:t>
            </w:r>
          </w:p>
        </w:tc>
        <w:tc>
          <w:tcPr/>
          <w:p>
            <w:pPr>
              <w:pStyle w:val="Compact"/>
            </w:pPr>
            <w:r>
              <w:t xml:space="preserve">8-12 weeks</w:t>
            </w:r>
          </w:p>
        </w:tc>
        <w:tc>
          <w:tcPr/>
          <w:p>
            <w:pPr>
              <w:pStyle w:val="Compact"/>
            </w:pPr>
            <w:r>
              <w:t xml:space="preserve">LMWH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Isolated extremity/pelvis NWB</w:t>
            </w:r>
          </w:p>
        </w:tc>
        <w:tc>
          <w:tcPr/>
          <w:p>
            <w:pPr>
              <w:pStyle w:val="Compact"/>
            </w:pPr>
            <w:r>
              <w:t xml:space="preserve">3-6 weeks</w:t>
            </w:r>
          </w:p>
        </w:tc>
        <w:tc>
          <w:tcPr/>
          <w:p>
            <w:pPr>
              <w:pStyle w:val="Compact"/>
            </w:pPr>
            <w:r>
              <w:t xml:space="preserve">LMWH</w:t>
            </w:r>
          </w:p>
        </w:tc>
        <w:tc>
          <w:tcPr/>
          <w:p>
            <w:pPr>
              <w:pStyle w:val="Compact"/>
            </w:pPr>
            <w:r>
              <w:t xml:space="preserve">Aspirin 81 mg BID</w:t>
            </w:r>
          </w:p>
        </w:tc>
      </w:tr>
    </w:tbl>
    <w:p>
      <w:pPr>
        <w:pStyle w:val="BodyText"/>
      </w:pPr>
      <w:r>
        <w:t xml:space="preserve">Confirm plan in discharge summary and medication reconciliation.</w:t>
      </w:r>
    </w:p>
    <w:bookmarkEnd w:id="27"/>
    <w:bookmarkStart w:id="28" w:name="ivc-filter-rule"/>
    <w:p>
      <w:pPr>
        <w:pStyle w:val="Heading2"/>
      </w:pPr>
      <w:r>
        <w:t xml:space="preserve">IVC Filter Rule</w:t>
      </w:r>
    </w:p>
    <w:p>
      <w:pPr>
        <w:pStyle w:val="Compact"/>
        <w:numPr>
          <w:ilvl w:val="0"/>
          <w:numId w:val="1008"/>
        </w:numPr>
      </w:pPr>
      <w:r>
        <w:t xml:space="preserve">Avoid prophylactic IVC filters.</w:t>
      </w:r>
    </w:p>
    <w:p>
      <w:pPr>
        <w:pStyle w:val="Compact"/>
        <w:numPr>
          <w:ilvl w:val="0"/>
          <w:numId w:val="1008"/>
        </w:numPr>
      </w:pPr>
      <w:r>
        <w:t xml:space="preserve">Temporary filter only for acute VTE + temporary absolute contraindication to anticoagulation.</w:t>
      </w:r>
    </w:p>
    <w:bookmarkEnd w:id="28"/>
    <w:bookmarkStart w:id="29" w:name="hard-stops"/>
    <w:p>
      <w:pPr>
        <w:pStyle w:val="Heading2"/>
      </w:pPr>
      <w:r>
        <w:t xml:space="preserve">Hard Stops</w:t>
      </w:r>
    </w:p>
    <w:p>
      <w:pPr>
        <w:pStyle w:val="Compact"/>
        <w:numPr>
          <w:ilvl w:val="0"/>
          <w:numId w:val="1009"/>
        </w:numPr>
      </w:pPr>
      <w:r>
        <w:t xml:space="preserve">Do not hold prophylaxis &gt;48h without clear bleeding-risk documentation.</w:t>
      </w:r>
    </w:p>
    <w:p>
      <w:pPr>
        <w:pStyle w:val="Compact"/>
        <w:numPr>
          <w:ilvl w:val="0"/>
          <w:numId w:val="1009"/>
        </w:numPr>
      </w:pPr>
      <w:r>
        <w:t xml:space="preserve">Do not miss scheduled doses without documented reason.</w:t>
      </w:r>
    </w:p>
    <w:p>
      <w:pPr>
        <w:pStyle w:val="Compact"/>
        <w:numPr>
          <w:ilvl w:val="0"/>
          <w:numId w:val="1009"/>
        </w:numPr>
      </w:pPr>
      <w:r>
        <w:t xml:space="preserve">Do not ignore VTE prophylaxis at transition points (OR, ICU transfer, discharge).</w:t>
      </w:r>
    </w:p>
    <w:p>
      <w:pPr>
        <w:pStyle w:val="Compact"/>
        <w:numPr>
          <w:ilvl w:val="0"/>
          <w:numId w:val="1009"/>
        </w:numPr>
      </w:pPr>
      <w:r>
        <w:t xml:space="preserve">Do not use aspirin/DOAC pathways for polytrauma, SCI, or TBI by default.</w:t>
      </w:r>
    </w:p>
    <w:bookmarkEnd w:id="29"/>
    <w:bookmarkStart w:id="30" w:name="pips-trigger-events"/>
    <w:p>
      <w:pPr>
        <w:pStyle w:val="Heading2"/>
      </w:pPr>
      <w:r>
        <w:t xml:space="preserve">PIPS Trigger Events</w:t>
      </w:r>
    </w:p>
    <w:p>
      <w:pPr>
        <w:pStyle w:val="Compact"/>
        <w:numPr>
          <w:ilvl w:val="0"/>
          <w:numId w:val="1010"/>
        </w:numPr>
      </w:pPr>
      <w:r>
        <w:t xml:space="preserve">Any inpatient DVT/PE event.</w:t>
      </w:r>
    </w:p>
    <w:p>
      <w:pPr>
        <w:pStyle w:val="Compact"/>
        <w:numPr>
          <w:ilvl w:val="0"/>
          <w:numId w:val="1010"/>
        </w:numPr>
      </w:pPr>
      <w:r>
        <w:t xml:space="preserve">Chemoprophylaxis hold &gt;48h without documented bleeding risk.</w:t>
      </w:r>
    </w:p>
    <w:p>
      <w:pPr>
        <w:pStyle w:val="Compact"/>
        <w:numPr>
          <w:ilvl w:val="0"/>
          <w:numId w:val="1010"/>
        </w:numPr>
      </w:pPr>
      <w:r>
        <w:t xml:space="preserve">Weight &gt;100 kg receiving less than 40 mg BID without anti-Xa strategy.</w:t>
      </w:r>
    </w:p>
    <w:p>
      <w:pPr>
        <w:pStyle w:val="Compact"/>
        <w:numPr>
          <w:ilvl w:val="0"/>
          <w:numId w:val="1010"/>
        </w:numPr>
      </w:pPr>
      <w:r>
        <w:t xml:space="preserve">High-risk patient discharged without extended prophylaxis plan.</w:t>
      </w:r>
    </w:p>
    <w:bookmarkEnd w:id="30"/>
    <w:bookmarkStart w:id="31" w:name="daily-rounds-check"/>
    <w:p>
      <w:pPr>
        <w:pStyle w:val="Heading2"/>
      </w:pPr>
      <w:r>
        <w:t xml:space="preserve">Daily Rounds Check</w:t>
      </w:r>
    </w:p>
    <w:p>
      <w:pPr>
        <w:pStyle w:val="Compact"/>
        <w:numPr>
          <w:ilvl w:val="0"/>
          <w:numId w:val="1011"/>
        </w:numPr>
      </w:pPr>
      <w:r>
        <w:t xml:space="preserve">Mechanical prophylaxis in place?</w:t>
      </w:r>
    </w:p>
    <w:p>
      <w:pPr>
        <w:pStyle w:val="Compact"/>
        <w:numPr>
          <w:ilvl w:val="0"/>
          <w:numId w:val="1011"/>
        </w:numPr>
      </w:pPr>
      <w:r>
        <w:t xml:space="preserve">Chemoprophylaxis active or hold reason documented?</w:t>
      </w:r>
    </w:p>
    <w:p>
      <w:pPr>
        <w:pStyle w:val="Compact"/>
        <w:numPr>
          <w:ilvl w:val="0"/>
          <w:numId w:val="1011"/>
        </w:numPr>
      </w:pPr>
      <w:r>
        <w:t xml:space="preserve">Last dose given on time?</w:t>
      </w:r>
    </w:p>
    <w:p>
      <w:pPr>
        <w:pStyle w:val="Compact"/>
        <w:numPr>
          <w:ilvl w:val="0"/>
          <w:numId w:val="1011"/>
        </w:numPr>
      </w:pPr>
      <w:r>
        <w:t xml:space="preserve">Is the current dose aligned with weight/renal protocol?</w:t>
      </w:r>
    </w:p>
    <w:p>
      <w:pPr>
        <w:pStyle w:val="Compact"/>
        <w:numPr>
          <w:ilvl w:val="0"/>
          <w:numId w:val="1011"/>
        </w:numPr>
      </w:pPr>
      <w:r>
        <w:t xml:space="preserve">New contraindication today?</w:t>
      </w:r>
    </w:p>
    <w:p>
      <w:pPr>
        <w:pStyle w:val="Compact"/>
        <w:numPr>
          <w:ilvl w:val="0"/>
          <w:numId w:val="1011"/>
        </w:numPr>
      </w:pPr>
      <w:r>
        <w:t xml:space="preserve">Discharge prophylaxis plan needed?</w:t>
      </w:r>
    </w:p>
    <w:bookmarkEnd w:id="31"/>
    <w:bookmarkStart w:id="32" w:name="source-basis"/>
    <w:p>
      <w:pPr>
        <w:pStyle w:val="Heading2"/>
      </w:pPr>
      <w:r>
        <w:t xml:space="preserve">Source Basis</w:t>
      </w:r>
    </w:p>
    <w:p>
      <w:pPr>
        <w:pStyle w:val="FirstParagraph"/>
      </w:pPr>
      <w:r>
        <w:t xml:space="preserve">Condensed from current institutional VTE prophylaxis guideline (revision dated February 9, 2026).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2026-02-26T19:19:40Z</dcterms:created>
  <dcterms:modified xsi:type="dcterms:W3CDTF">2026-02-26T19:19:40Z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